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7CA14" w14:textId="77777777" w:rsidR="00775C55" w:rsidRPr="00775C55" w:rsidRDefault="00775C55" w:rsidP="00775C55">
      <w:pPr>
        <w:autoSpaceDE w:val="0"/>
        <w:autoSpaceDN w:val="0"/>
        <w:adjustRightInd w:val="0"/>
        <w:spacing w:after="0" w:line="240" w:lineRule="auto"/>
        <w:rPr>
          <w:rFonts w:ascii="Times New Roman" w:hAnsi="Times New Roman" w:cs="Times New Roman"/>
          <w:color w:val="000000"/>
          <w:kern w:val="0"/>
          <w:sz w:val="20"/>
          <w:szCs w:val="20"/>
          <w:lang w:val="en-US"/>
        </w:rPr>
      </w:pPr>
      <w:r w:rsidRPr="00775C55">
        <w:rPr>
          <w:rFonts w:ascii="Times New Roman" w:hAnsi="Times New Roman" w:cs="Times New Roman"/>
          <w:color w:val="000000"/>
          <w:kern w:val="0"/>
          <w:sz w:val="20"/>
          <w:szCs w:val="20"/>
          <w:lang w:val="en-US"/>
        </w:rPr>
        <w:t>EGESIF_21-0012-05</w:t>
      </w:r>
    </w:p>
    <w:p w14:paraId="78F027EB" w14:textId="77777777" w:rsidR="00775C55" w:rsidRPr="00775C55" w:rsidRDefault="00775C55" w:rsidP="00775C55">
      <w:pPr>
        <w:autoSpaceDE w:val="0"/>
        <w:autoSpaceDN w:val="0"/>
        <w:adjustRightInd w:val="0"/>
        <w:spacing w:after="0" w:line="240" w:lineRule="auto"/>
        <w:rPr>
          <w:rFonts w:ascii="Times New Roman" w:hAnsi="Times New Roman" w:cs="Times New Roman"/>
          <w:color w:val="000000"/>
          <w:kern w:val="0"/>
          <w:sz w:val="20"/>
          <w:szCs w:val="20"/>
          <w:lang w:val="en-US"/>
        </w:rPr>
      </w:pPr>
      <w:r w:rsidRPr="00775C55">
        <w:rPr>
          <w:rFonts w:ascii="Times New Roman" w:hAnsi="Times New Roman" w:cs="Times New Roman"/>
          <w:color w:val="000000"/>
          <w:kern w:val="0"/>
          <w:sz w:val="20"/>
          <w:szCs w:val="20"/>
          <w:lang w:val="en-US"/>
        </w:rPr>
        <w:t>09/09/2022</w:t>
      </w:r>
    </w:p>
    <w:p w14:paraId="30386D97" w14:textId="0B0B9ED1" w:rsidR="00775C55" w:rsidRDefault="00775C55" w:rsidP="00775C55">
      <w:pPr>
        <w:autoSpaceDE w:val="0"/>
        <w:autoSpaceDN w:val="0"/>
        <w:adjustRightInd w:val="0"/>
        <w:spacing w:after="0" w:line="240" w:lineRule="auto"/>
        <w:rPr>
          <w:rFonts w:ascii="Times New Roman" w:hAnsi="Times New Roman" w:cs="Times New Roman"/>
          <w:color w:val="000000"/>
          <w:kern w:val="0"/>
          <w:sz w:val="18"/>
          <w:szCs w:val="18"/>
          <w:lang w:val="en-US"/>
        </w:rPr>
      </w:pPr>
    </w:p>
    <w:p w14:paraId="7FD10036" w14:textId="4A0C2FF5" w:rsidR="00775C55" w:rsidRDefault="004E586F" w:rsidP="00D75430">
      <w:pPr>
        <w:autoSpaceDE w:val="0"/>
        <w:autoSpaceDN w:val="0"/>
        <w:adjustRightInd w:val="0"/>
        <w:spacing w:after="0" w:line="240" w:lineRule="auto"/>
        <w:jc w:val="center"/>
        <w:rPr>
          <w:rFonts w:ascii="Times New Roman" w:hAnsi="Times New Roman" w:cs="Times New Roman"/>
          <w:b/>
          <w:bCs/>
          <w:color w:val="2E74B6"/>
          <w:kern w:val="0"/>
          <w:sz w:val="28"/>
          <w:szCs w:val="28"/>
        </w:rPr>
      </w:pPr>
      <w:r>
        <w:rPr>
          <w:rFonts w:ascii="Times New Roman" w:hAnsi="Times New Roman" w:cs="Times New Roman"/>
          <w:noProof/>
          <w:color w:val="2E74B6"/>
          <w:kern w:val="0"/>
          <w:sz w:val="18"/>
          <w:szCs w:val="18"/>
        </w:rPr>
        <mc:AlternateContent>
          <mc:Choice Requires="wps">
            <w:drawing>
              <wp:anchor distT="0" distB="0" distL="0" distR="0" simplePos="0" relativeHeight="251658240" behindDoc="1" locked="0" layoutInCell="1" allowOverlap="1" wp14:anchorId="21D1A3D1" wp14:editId="7FB9C06F">
                <wp:simplePos x="0" y="0"/>
                <wp:positionH relativeFrom="page">
                  <wp:posOffset>723900</wp:posOffset>
                </wp:positionH>
                <wp:positionV relativeFrom="paragraph">
                  <wp:posOffset>319405</wp:posOffset>
                </wp:positionV>
                <wp:extent cx="8953500" cy="830580"/>
                <wp:effectExtent l="0" t="0" r="19050" b="26670"/>
                <wp:wrapTopAndBottom/>
                <wp:docPr id="2063233987"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0" cy="8305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9BC99A" w14:textId="77777777" w:rsidR="004E586F" w:rsidRDefault="004E586F" w:rsidP="00775C55">
                            <w:pPr>
                              <w:autoSpaceDE w:val="0"/>
                              <w:autoSpaceDN w:val="0"/>
                              <w:adjustRightInd w:val="0"/>
                              <w:spacing w:after="0" w:line="240" w:lineRule="auto"/>
                              <w:rPr>
                                <w:rFonts w:ascii="Times New Roman" w:hAnsi="Times New Roman" w:cs="Times New Roman"/>
                                <w:b/>
                                <w:bCs/>
                                <w:color w:val="000000"/>
                                <w:kern w:val="0"/>
                                <w:sz w:val="18"/>
                                <w:szCs w:val="18"/>
                                <w:lang w:val="en-US"/>
                              </w:rPr>
                            </w:pPr>
                          </w:p>
                          <w:p w14:paraId="1F5BAF01" w14:textId="5098A26B" w:rsidR="00775C55" w:rsidRPr="004E586F" w:rsidRDefault="00775C55" w:rsidP="00B66DCA">
                            <w:pPr>
                              <w:autoSpaceDE w:val="0"/>
                              <w:autoSpaceDN w:val="0"/>
                              <w:adjustRightInd w:val="0"/>
                              <w:spacing w:after="0" w:line="240" w:lineRule="auto"/>
                              <w:jc w:val="both"/>
                              <w:rPr>
                                <w:rFonts w:ascii="Times New Roman" w:hAnsi="Times New Roman" w:cs="Times New Roman"/>
                                <w:b/>
                                <w:bCs/>
                                <w:color w:val="000000"/>
                                <w:kern w:val="0"/>
                                <w:sz w:val="18"/>
                                <w:szCs w:val="18"/>
                              </w:rPr>
                            </w:pPr>
                            <w:r w:rsidRPr="004E586F">
                              <w:rPr>
                                <w:rFonts w:ascii="Times New Roman" w:hAnsi="Times New Roman" w:cs="Times New Roman"/>
                                <w:b/>
                                <w:bCs/>
                                <w:color w:val="000000"/>
                                <w:kern w:val="0"/>
                                <w:sz w:val="18"/>
                                <w:szCs w:val="18"/>
                              </w:rPr>
                              <w:t>CLAUSOLA DI ESCLUSIONE DI RESPONSABILITÀ</w:t>
                            </w:r>
                          </w:p>
                          <w:p w14:paraId="1B556B7E" w14:textId="77777777" w:rsidR="00775C55" w:rsidRPr="00775C55" w:rsidRDefault="00775C55" w:rsidP="00B66DCA">
                            <w:pPr>
                              <w:autoSpaceDE w:val="0"/>
                              <w:autoSpaceDN w:val="0"/>
                              <w:adjustRightInd w:val="0"/>
                              <w:spacing w:after="0" w:line="240" w:lineRule="auto"/>
                              <w:jc w:val="both"/>
                              <w:rPr>
                                <w:rFonts w:ascii="Times New Roman" w:hAnsi="Times New Roman" w:cs="Times New Roman"/>
                                <w:i/>
                                <w:iCs/>
                                <w:color w:val="000000"/>
                                <w:kern w:val="0"/>
                                <w:sz w:val="18"/>
                                <w:szCs w:val="18"/>
                                <w:lang w:val="en-US"/>
                              </w:rPr>
                            </w:pPr>
                            <w:r w:rsidRPr="00775C55">
                              <w:rPr>
                                <w:rFonts w:ascii="Times New Roman" w:hAnsi="Times New Roman" w:cs="Times New Roman"/>
                                <w:i/>
                                <w:iCs/>
                                <w:color w:val="000000"/>
                                <w:kern w:val="0"/>
                                <w:sz w:val="18"/>
                                <w:szCs w:val="18"/>
                                <w:lang w:val="en-US"/>
                              </w:rPr>
                              <w:t>Questo documento è stato preparato dai servizi della Commissione, esprime il parere di questi ultimi e non impegna la Commissione europea.  Solo la Corte di giustizia dell'Unione europea è competente a interpretare in modo autorevole il diritto dell'Unione.</w:t>
                            </w:r>
                          </w:p>
                          <w:p w14:paraId="32ABB66A" w14:textId="6F063B03" w:rsidR="00775C55" w:rsidRPr="00775C55" w:rsidRDefault="00775C55" w:rsidP="00B66DCA">
                            <w:pPr>
                              <w:autoSpaceDE w:val="0"/>
                              <w:autoSpaceDN w:val="0"/>
                              <w:adjustRightInd w:val="0"/>
                              <w:spacing w:after="0" w:line="240" w:lineRule="auto"/>
                              <w:jc w:val="both"/>
                              <w:rPr>
                                <w:rFonts w:ascii="Times New Roman" w:hAnsi="Times New Roman" w:cs="Times New Roman"/>
                                <w:i/>
                                <w:iCs/>
                                <w:color w:val="000000"/>
                                <w:kern w:val="0"/>
                                <w:sz w:val="18"/>
                                <w:szCs w:val="18"/>
                                <w:lang w:val="en-US"/>
                              </w:rPr>
                            </w:pPr>
                            <w:r w:rsidRPr="00775C55">
                              <w:rPr>
                                <w:rFonts w:ascii="Times New Roman" w:hAnsi="Times New Roman" w:cs="Times New Roman"/>
                                <w:i/>
                                <w:iCs/>
                                <w:color w:val="000000"/>
                                <w:kern w:val="0"/>
                                <w:sz w:val="18"/>
                                <w:szCs w:val="18"/>
                                <w:lang w:val="en-US"/>
                              </w:rPr>
                              <w:t>Si precisa che il presente documento è stato redatto in un momento in cui gli Orientamenti sulla Chiusura non erano stati ancora finalizzati, eccetto per le risposte al quarto e quinto set di quesiti ricevuti dagli Stati membri.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D1A3D1" id="_x0000_t202" coordsize="21600,21600" o:spt="202" path="m,l,21600r21600,l21600,xe">
                <v:stroke joinstyle="miter"/>
                <v:path gradientshapeok="t" o:connecttype="rect"/>
              </v:shapetype>
              <v:shape id="Casella di testo 1" o:spid="_x0000_s1026" type="#_x0000_t202" style="position:absolute;left:0;text-align:left;margin-left:57pt;margin-top:25.15pt;width:705pt;height:65.4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" filled="f" strokeweight=".48pt">
                <v:textbox inset="0,0,0,0">
                  <w:txbxContent>
                    <w:p w14:paraId="0A9BC99A" w14:textId="77777777" w:rsidR="004E586F" w:rsidRDefault="004E586F" w:rsidP="00775C55">
                      <w:pPr>
                        <w:autoSpaceDE w:val="0"/>
                        <w:autoSpaceDN w:val="0"/>
                        <w:adjustRightInd w:val="0"/>
                        <w:spacing w:after="0" w:line="240" w:lineRule="auto"/>
                        <w:rPr>
                          <w:rFonts w:ascii="Times New Roman" w:hAnsi="Times New Roman" w:cs="Times New Roman"/>
                          <w:b/>
                          <w:bCs/>
                          <w:color w:val="000000"/>
                          <w:kern w:val="0"/>
                          <w:sz w:val="18"/>
                          <w:szCs w:val="18"/>
                          <w:lang w:val="en-US"/>
                        </w:rPr>
                      </w:pPr>
                    </w:p>
                    <w:p w14:paraId="1F5BAF01" w14:textId="5098A26B" w:rsidR="00775C55" w:rsidRPr="004E586F" w:rsidRDefault="00775C55" w:rsidP="00B66DCA">
                      <w:pPr>
                        <w:autoSpaceDE w:val="0"/>
                        <w:autoSpaceDN w:val="0"/>
                        <w:adjustRightInd w:val="0"/>
                        <w:spacing w:after="0" w:line="240" w:lineRule="auto"/>
                        <w:jc w:val="both"/>
                        <w:rPr>
                          <w:rFonts w:ascii="Times New Roman" w:hAnsi="Times New Roman" w:cs="Times New Roman"/>
                          <w:b/>
                          <w:bCs/>
                          <w:color w:val="000000"/>
                          <w:kern w:val="0"/>
                          <w:sz w:val="18"/>
                          <w:szCs w:val="18"/>
                        </w:rPr>
                      </w:pPr>
                      <w:r w:rsidRPr="004E586F">
                        <w:rPr>
                          <w:rFonts w:ascii="Times New Roman" w:hAnsi="Times New Roman" w:cs="Times New Roman"/>
                          <w:b/>
                          <w:bCs/>
                          <w:color w:val="000000"/>
                          <w:kern w:val="0"/>
                          <w:sz w:val="18"/>
                          <w:szCs w:val="18"/>
                        </w:rPr>
                        <w:t>CLAUSOLA DI ESCLUSIONE DI RESPONSABILITÀ</w:t>
                      </w:r>
                    </w:p>
                    <w:p w14:paraId="1B556B7E" w14:textId="77777777" w:rsidR="00775C55" w:rsidRPr="00775C55" w:rsidRDefault="00775C55" w:rsidP="00B66DCA">
                      <w:pPr>
                        <w:autoSpaceDE w:val="0"/>
                        <w:autoSpaceDN w:val="0"/>
                        <w:adjustRightInd w:val="0"/>
                        <w:spacing w:after="0" w:line="240" w:lineRule="auto"/>
                        <w:jc w:val="both"/>
                        <w:rPr>
                          <w:rFonts w:ascii="Times New Roman" w:hAnsi="Times New Roman" w:cs="Times New Roman"/>
                          <w:i/>
                          <w:iCs/>
                          <w:color w:val="000000"/>
                          <w:kern w:val="0"/>
                          <w:sz w:val="18"/>
                          <w:szCs w:val="18"/>
                          <w:lang w:val="en-US"/>
                        </w:rPr>
                      </w:pPr>
                      <w:r w:rsidRPr="00775C55">
                        <w:rPr>
                          <w:rFonts w:ascii="Times New Roman" w:hAnsi="Times New Roman" w:cs="Times New Roman"/>
                          <w:i/>
                          <w:iCs/>
                          <w:color w:val="000000"/>
                          <w:kern w:val="0"/>
                          <w:sz w:val="18"/>
                          <w:szCs w:val="18"/>
                          <w:lang w:val="en-US"/>
                        </w:rPr>
                        <w:t>Questo documento è stato preparato dai servizi della Commissione, esprime il parere di questi ultimi e non impegna la Commissione europea.  Solo la Corte di giustizia dell'Unione europea è competente a interpretare in modo autorevole il diritto dell'Unione.</w:t>
                      </w:r>
                    </w:p>
                    <w:p w14:paraId="32ABB66A" w14:textId="6F063B03" w:rsidR="00775C55" w:rsidRPr="00775C55" w:rsidRDefault="00775C55" w:rsidP="00B66DCA">
                      <w:pPr>
                        <w:autoSpaceDE w:val="0"/>
                        <w:autoSpaceDN w:val="0"/>
                        <w:adjustRightInd w:val="0"/>
                        <w:spacing w:after="0" w:line="240" w:lineRule="auto"/>
                        <w:jc w:val="both"/>
                        <w:rPr>
                          <w:rFonts w:ascii="Times New Roman" w:hAnsi="Times New Roman" w:cs="Times New Roman"/>
                          <w:i/>
                          <w:iCs/>
                          <w:color w:val="000000"/>
                          <w:kern w:val="0"/>
                          <w:sz w:val="18"/>
                          <w:szCs w:val="18"/>
                          <w:lang w:val="en-US"/>
                        </w:rPr>
                      </w:pPr>
                      <w:r w:rsidRPr="00775C55">
                        <w:rPr>
                          <w:rFonts w:ascii="Times New Roman" w:hAnsi="Times New Roman" w:cs="Times New Roman"/>
                          <w:i/>
                          <w:iCs/>
                          <w:color w:val="000000"/>
                          <w:kern w:val="0"/>
                          <w:sz w:val="18"/>
                          <w:szCs w:val="18"/>
                          <w:lang w:val="en-US"/>
                        </w:rPr>
                        <w:t>Si precisa che il presente documento è stato redatto in un momento in cui gli Orientamenti sulla Chiusura non erano stati ancora finalizzati, eccetto per le risposte al quarto e quinto set di quesiti ricevuti dagli Stati membri.</w:t>
                      </w:r>
                    </w:p>
                  </w:txbxContent>
                </v:textbox>
                <w10:wrap type="topAndBottom" anchorx="page"/>
              </v:shape>
            </w:pict>
          </mc:Fallback>
        </mc:AlternateContent>
      </w:r>
      <w:r w:rsidR="00775C55" w:rsidRPr="00775C55">
        <w:rPr>
          <w:rFonts w:ascii="Times New Roman" w:hAnsi="Times New Roman" w:cs="Times New Roman"/>
          <w:b/>
          <w:bCs/>
          <w:color w:val="2E74B6"/>
          <w:kern w:val="0"/>
          <w:sz w:val="28"/>
          <w:szCs w:val="28"/>
        </w:rPr>
        <w:t>Quesiti degli Stati membri ne</w:t>
      </w:r>
      <w:r w:rsidR="00775C55">
        <w:rPr>
          <w:rFonts w:ascii="Times New Roman" w:hAnsi="Times New Roman" w:cs="Times New Roman"/>
          <w:b/>
          <w:bCs/>
          <w:color w:val="2E74B6"/>
          <w:kern w:val="0"/>
          <w:sz w:val="28"/>
          <w:szCs w:val="28"/>
        </w:rPr>
        <w:t xml:space="preserve">ll’ambito del </w:t>
      </w:r>
      <w:r w:rsidR="00D75430">
        <w:rPr>
          <w:rFonts w:ascii="Times New Roman" w:hAnsi="Times New Roman" w:cs="Times New Roman"/>
          <w:b/>
          <w:bCs/>
          <w:color w:val="2E74B6"/>
          <w:kern w:val="0"/>
          <w:sz w:val="28"/>
          <w:szCs w:val="28"/>
        </w:rPr>
        <w:t>confronto</w:t>
      </w:r>
      <w:r w:rsidR="00775C55" w:rsidRPr="00775C55">
        <w:rPr>
          <w:rFonts w:ascii="Times New Roman" w:hAnsi="Times New Roman" w:cs="Times New Roman"/>
          <w:b/>
          <w:bCs/>
          <w:color w:val="2E74B6"/>
          <w:kern w:val="0"/>
          <w:sz w:val="28"/>
          <w:szCs w:val="28"/>
        </w:rPr>
        <w:t xml:space="preserve"> EGESIF </w:t>
      </w:r>
      <w:r w:rsidR="00775C55">
        <w:rPr>
          <w:rFonts w:ascii="Times New Roman" w:hAnsi="Times New Roman" w:cs="Times New Roman"/>
          <w:b/>
          <w:bCs/>
          <w:color w:val="2E74B6"/>
          <w:kern w:val="0"/>
          <w:sz w:val="28"/>
          <w:szCs w:val="28"/>
        </w:rPr>
        <w:t>sulla bozza di Orientamenti sulla Chiusura</w:t>
      </w:r>
    </w:p>
    <w:p w14:paraId="7F1D8723" w14:textId="2ED204BA" w:rsidR="00775C55" w:rsidRPr="00775C55" w:rsidRDefault="00775C55" w:rsidP="00775C55">
      <w:pPr>
        <w:autoSpaceDE w:val="0"/>
        <w:autoSpaceDN w:val="0"/>
        <w:adjustRightInd w:val="0"/>
        <w:spacing w:after="0" w:line="240" w:lineRule="auto"/>
        <w:rPr>
          <w:rFonts w:ascii="Times New Roman" w:hAnsi="Times New Roman" w:cs="Times New Roman"/>
          <w:color w:val="2E74B6"/>
          <w:kern w:val="0"/>
          <w:sz w:val="18"/>
          <w:szCs w:val="18"/>
        </w:rPr>
      </w:pPr>
    </w:p>
    <w:p w14:paraId="66428388" w14:textId="77777777" w:rsidR="00775C55" w:rsidRDefault="00775C55" w:rsidP="00775C55"/>
    <w:tbl>
      <w:tblPr>
        <w:tblStyle w:val="Grigliatabella"/>
        <w:tblW w:w="0" w:type="auto"/>
        <w:tblLook w:val="04A0" w:firstRow="1" w:lastRow="0" w:firstColumn="1" w:lastColumn="0" w:noHBand="0" w:noVBand="1"/>
      </w:tblPr>
      <w:tblGrid>
        <w:gridCol w:w="796"/>
        <w:gridCol w:w="1454"/>
        <w:gridCol w:w="1738"/>
        <w:gridCol w:w="1992"/>
        <w:gridCol w:w="3796"/>
        <w:gridCol w:w="4394"/>
      </w:tblGrid>
      <w:tr w:rsidR="006510D9" w:rsidRPr="00775C55" w14:paraId="0B24E6BC" w14:textId="77777777" w:rsidTr="008C079F">
        <w:tc>
          <w:tcPr>
            <w:tcW w:w="14170" w:type="dxa"/>
            <w:gridSpan w:val="6"/>
            <w:shd w:val="clear" w:color="auto" w:fill="8EAADB" w:themeFill="accent1" w:themeFillTint="99"/>
          </w:tcPr>
          <w:p w14:paraId="55E54F4F" w14:textId="77777777" w:rsidR="006510D9" w:rsidRPr="00775C55" w:rsidRDefault="006510D9" w:rsidP="004E586F">
            <w:pPr>
              <w:jc w:val="both"/>
              <w:rPr>
                <w:rFonts w:ascii="Times New Roman" w:hAnsi="Times New Roman" w:cs="Times New Roman"/>
              </w:rPr>
            </w:pPr>
          </w:p>
        </w:tc>
      </w:tr>
      <w:tr w:rsidR="006510D9" w:rsidRPr="00D75430" w14:paraId="63C6C854" w14:textId="77777777" w:rsidTr="006510D9">
        <w:tc>
          <w:tcPr>
            <w:tcW w:w="796" w:type="dxa"/>
          </w:tcPr>
          <w:p w14:paraId="21B46203" w14:textId="77777777" w:rsidR="006510D9" w:rsidRPr="00D75430" w:rsidRDefault="006510D9" w:rsidP="004E586F">
            <w:pPr>
              <w:jc w:val="both"/>
              <w:rPr>
                <w:rFonts w:ascii="Times New Roman" w:hAnsi="Times New Roman" w:cs="Times New Roman"/>
                <w:b/>
                <w:bCs/>
              </w:rPr>
            </w:pPr>
          </w:p>
        </w:tc>
        <w:tc>
          <w:tcPr>
            <w:tcW w:w="1454" w:type="dxa"/>
          </w:tcPr>
          <w:p w14:paraId="2020CAE8" w14:textId="3A97A380" w:rsidR="006510D9" w:rsidRPr="00D75430" w:rsidRDefault="006510D9" w:rsidP="004E586F">
            <w:pPr>
              <w:jc w:val="both"/>
              <w:rPr>
                <w:rFonts w:ascii="Times New Roman" w:hAnsi="Times New Roman" w:cs="Times New Roman"/>
                <w:b/>
                <w:bCs/>
              </w:rPr>
            </w:pPr>
            <w:r w:rsidRPr="00D75430">
              <w:rPr>
                <w:rFonts w:ascii="Times New Roman" w:hAnsi="Times New Roman" w:cs="Times New Roman"/>
                <w:b/>
                <w:bCs/>
              </w:rPr>
              <w:t>Stato membro</w:t>
            </w:r>
          </w:p>
        </w:tc>
        <w:tc>
          <w:tcPr>
            <w:tcW w:w="1738" w:type="dxa"/>
          </w:tcPr>
          <w:p w14:paraId="2514FA81" w14:textId="322C7552" w:rsidR="006510D9" w:rsidRPr="00D75430" w:rsidRDefault="006510D9" w:rsidP="004E586F">
            <w:pPr>
              <w:jc w:val="both"/>
              <w:rPr>
                <w:rFonts w:ascii="Times New Roman" w:hAnsi="Times New Roman" w:cs="Times New Roman"/>
                <w:b/>
                <w:bCs/>
              </w:rPr>
            </w:pPr>
            <w:r w:rsidRPr="00D75430">
              <w:rPr>
                <w:rFonts w:ascii="Times New Roman" w:hAnsi="Times New Roman" w:cs="Times New Roman"/>
                <w:b/>
                <w:bCs/>
              </w:rPr>
              <w:t>Categoria</w:t>
            </w:r>
          </w:p>
        </w:tc>
        <w:tc>
          <w:tcPr>
            <w:tcW w:w="1992" w:type="dxa"/>
          </w:tcPr>
          <w:p w14:paraId="30DAE0A2" w14:textId="14F26F3F" w:rsidR="006510D9" w:rsidRPr="00D75430" w:rsidRDefault="006510D9" w:rsidP="004E586F">
            <w:pPr>
              <w:jc w:val="both"/>
              <w:rPr>
                <w:rFonts w:ascii="Times New Roman" w:hAnsi="Times New Roman" w:cs="Times New Roman"/>
                <w:b/>
                <w:bCs/>
              </w:rPr>
            </w:pPr>
            <w:r w:rsidRPr="00D75430">
              <w:rPr>
                <w:rFonts w:ascii="Times New Roman" w:hAnsi="Times New Roman" w:cs="Times New Roman"/>
                <w:b/>
                <w:bCs/>
              </w:rPr>
              <w:t>Sotto-categoria</w:t>
            </w:r>
          </w:p>
        </w:tc>
        <w:tc>
          <w:tcPr>
            <w:tcW w:w="3796" w:type="dxa"/>
          </w:tcPr>
          <w:p w14:paraId="57E8826A" w14:textId="4A70EB22" w:rsidR="006510D9" w:rsidRPr="00D75430" w:rsidRDefault="006510D9" w:rsidP="004E586F">
            <w:pPr>
              <w:jc w:val="both"/>
              <w:rPr>
                <w:rFonts w:ascii="Times New Roman" w:hAnsi="Times New Roman" w:cs="Times New Roman"/>
                <w:b/>
                <w:bCs/>
              </w:rPr>
            </w:pPr>
            <w:r w:rsidRPr="00D75430">
              <w:rPr>
                <w:rFonts w:ascii="Times New Roman" w:hAnsi="Times New Roman" w:cs="Times New Roman"/>
                <w:b/>
                <w:bCs/>
              </w:rPr>
              <w:t>Quesito</w:t>
            </w:r>
          </w:p>
        </w:tc>
        <w:tc>
          <w:tcPr>
            <w:tcW w:w="4394" w:type="dxa"/>
          </w:tcPr>
          <w:p w14:paraId="0DDFF500" w14:textId="59207FDC" w:rsidR="006510D9" w:rsidRPr="00D75430" w:rsidRDefault="006510D9" w:rsidP="004E586F">
            <w:pPr>
              <w:jc w:val="both"/>
              <w:rPr>
                <w:rFonts w:ascii="Times New Roman" w:hAnsi="Times New Roman" w:cs="Times New Roman"/>
                <w:b/>
                <w:bCs/>
              </w:rPr>
            </w:pPr>
            <w:r w:rsidRPr="00D75430">
              <w:rPr>
                <w:rFonts w:ascii="Times New Roman" w:hAnsi="Times New Roman" w:cs="Times New Roman"/>
                <w:b/>
                <w:bCs/>
              </w:rPr>
              <w:t>Risposta</w:t>
            </w:r>
          </w:p>
        </w:tc>
      </w:tr>
      <w:tr w:rsidR="006510D9" w:rsidRPr="00775C55" w14:paraId="5528A209" w14:textId="77777777" w:rsidTr="006510D9">
        <w:tc>
          <w:tcPr>
            <w:tcW w:w="796" w:type="dxa"/>
          </w:tcPr>
          <w:p w14:paraId="5C003BB8" w14:textId="5B8A46EC" w:rsidR="006510D9" w:rsidRPr="00775C55" w:rsidRDefault="006510D9" w:rsidP="004E586F">
            <w:pPr>
              <w:jc w:val="both"/>
              <w:rPr>
                <w:rFonts w:ascii="Times New Roman" w:hAnsi="Times New Roman" w:cs="Times New Roman"/>
              </w:rPr>
            </w:pPr>
            <w:r>
              <w:rPr>
                <w:rFonts w:ascii="Times New Roman" w:hAnsi="Times New Roman" w:cs="Times New Roman"/>
              </w:rPr>
              <w:t>14</w:t>
            </w:r>
          </w:p>
        </w:tc>
        <w:tc>
          <w:tcPr>
            <w:tcW w:w="1454" w:type="dxa"/>
          </w:tcPr>
          <w:p w14:paraId="0FFFEFB1" w14:textId="3742E9DF" w:rsidR="006510D9" w:rsidRPr="00775C55" w:rsidRDefault="006510D9" w:rsidP="004E586F">
            <w:pPr>
              <w:jc w:val="both"/>
              <w:rPr>
                <w:rFonts w:ascii="Times New Roman" w:hAnsi="Times New Roman" w:cs="Times New Roman"/>
              </w:rPr>
            </w:pPr>
            <w:r>
              <w:rPr>
                <w:rFonts w:ascii="Times New Roman" w:hAnsi="Times New Roman" w:cs="Times New Roman"/>
              </w:rPr>
              <w:t>Belgio</w:t>
            </w:r>
          </w:p>
        </w:tc>
        <w:tc>
          <w:tcPr>
            <w:tcW w:w="1738" w:type="dxa"/>
          </w:tcPr>
          <w:p w14:paraId="689B17B7" w14:textId="3DBBF6EE" w:rsidR="006510D9" w:rsidRPr="00775C55" w:rsidRDefault="006510D9" w:rsidP="004E586F">
            <w:pPr>
              <w:rPr>
                <w:rFonts w:ascii="Times New Roman" w:hAnsi="Times New Roman" w:cs="Times New Roman"/>
              </w:rPr>
            </w:pPr>
            <w:r>
              <w:rPr>
                <w:rFonts w:ascii="Times New Roman" w:hAnsi="Times New Roman" w:cs="Times New Roman"/>
              </w:rPr>
              <w:t>04.</w:t>
            </w:r>
            <w:r w:rsidR="004E586F">
              <w:rPr>
                <w:rFonts w:ascii="Times New Roman" w:hAnsi="Times New Roman" w:cs="Times New Roman"/>
              </w:rPr>
              <w:t xml:space="preserve"> </w:t>
            </w:r>
            <w:r>
              <w:rPr>
                <w:rFonts w:ascii="Times New Roman" w:hAnsi="Times New Roman" w:cs="Times New Roman"/>
              </w:rPr>
              <w:t>Gestione finanziaria</w:t>
            </w:r>
          </w:p>
        </w:tc>
        <w:tc>
          <w:tcPr>
            <w:tcW w:w="1992" w:type="dxa"/>
          </w:tcPr>
          <w:p w14:paraId="20E9AD16" w14:textId="482DB6E3" w:rsidR="006510D9" w:rsidRPr="00775C55" w:rsidRDefault="006510D9" w:rsidP="004E586F">
            <w:pPr>
              <w:jc w:val="both"/>
              <w:rPr>
                <w:rFonts w:ascii="Times New Roman" w:hAnsi="Times New Roman" w:cs="Times New Roman"/>
              </w:rPr>
            </w:pPr>
            <w:r>
              <w:rPr>
                <w:rFonts w:ascii="Times New Roman" w:hAnsi="Times New Roman" w:cs="Times New Roman"/>
              </w:rPr>
              <w:t>4.4 Over-booking</w:t>
            </w:r>
          </w:p>
        </w:tc>
        <w:tc>
          <w:tcPr>
            <w:tcW w:w="3796" w:type="dxa"/>
          </w:tcPr>
          <w:p w14:paraId="61E49866" w14:textId="1CDBDB5C" w:rsidR="006510D9" w:rsidRPr="00145798" w:rsidRDefault="006510D9" w:rsidP="004E586F">
            <w:pPr>
              <w:spacing w:after="0" w:line="240" w:lineRule="auto"/>
              <w:jc w:val="both"/>
              <w:rPr>
                <w:rFonts w:ascii="Times New Roman" w:hAnsi="Times New Roman" w:cs="Times New Roman"/>
              </w:rPr>
            </w:pPr>
            <w:r w:rsidRPr="00145798">
              <w:rPr>
                <w:rFonts w:ascii="Times New Roman" w:hAnsi="Times New Roman" w:cs="Times New Roman"/>
              </w:rPr>
              <w:t>In generale, il punto 4.4 relativo all</w:t>
            </w:r>
            <w:r>
              <w:rPr>
                <w:rFonts w:ascii="Times New Roman" w:hAnsi="Times New Roman" w:cs="Times New Roman"/>
              </w:rPr>
              <w:t>’</w:t>
            </w:r>
          </w:p>
          <w:p w14:paraId="19B77EC9" w14:textId="1B23B660" w:rsidR="006510D9" w:rsidRPr="00145798" w:rsidRDefault="006510D9" w:rsidP="004E586F">
            <w:pPr>
              <w:spacing w:after="0" w:line="240" w:lineRule="auto"/>
              <w:jc w:val="both"/>
              <w:rPr>
                <w:rFonts w:ascii="Times New Roman" w:hAnsi="Times New Roman" w:cs="Times New Roman"/>
              </w:rPr>
            </w:pPr>
            <w:r>
              <w:rPr>
                <w:rFonts w:ascii="Times New Roman" w:hAnsi="Times New Roman" w:cs="Times New Roman"/>
              </w:rPr>
              <w:t>o</w:t>
            </w:r>
            <w:r w:rsidRPr="00145798">
              <w:rPr>
                <w:rFonts w:ascii="Times New Roman" w:hAnsi="Times New Roman" w:cs="Times New Roman"/>
              </w:rPr>
              <w:t>ver</w:t>
            </w:r>
            <w:r>
              <w:rPr>
                <w:rFonts w:ascii="Times New Roman" w:hAnsi="Times New Roman" w:cs="Times New Roman"/>
              </w:rPr>
              <w:t>-</w:t>
            </w:r>
            <w:r w:rsidRPr="00145798">
              <w:rPr>
                <w:rFonts w:ascii="Times New Roman" w:hAnsi="Times New Roman" w:cs="Times New Roman"/>
              </w:rPr>
              <w:t xml:space="preserve">booking merita di essere chiarito (in particolare per quanto riguarda le chiusure annuali e l'invito rivolto alle autorità di certificazione a "rinviare la dichiarazione </w:t>
            </w:r>
            <w:r>
              <w:rPr>
                <w:rFonts w:ascii="Times New Roman" w:hAnsi="Times New Roman" w:cs="Times New Roman"/>
              </w:rPr>
              <w:t>dell’eccedenza di spesa</w:t>
            </w:r>
            <w:r w:rsidRPr="00145798">
              <w:rPr>
                <w:rFonts w:ascii="Times New Roman" w:hAnsi="Times New Roman" w:cs="Times New Roman"/>
              </w:rPr>
              <w:t xml:space="preserve"> all'ultimo esercizio</w:t>
            </w:r>
            <w:r>
              <w:rPr>
                <w:rFonts w:ascii="Times New Roman" w:hAnsi="Times New Roman" w:cs="Times New Roman"/>
              </w:rPr>
              <w:t xml:space="preserve"> finanziario</w:t>
            </w:r>
            <w:r w:rsidRPr="00145798">
              <w:rPr>
                <w:rFonts w:ascii="Times New Roman" w:hAnsi="Times New Roman" w:cs="Times New Roman"/>
              </w:rPr>
              <w:t>").</w:t>
            </w:r>
          </w:p>
          <w:p w14:paraId="3FA1E428" w14:textId="0672C0C4" w:rsidR="006510D9" w:rsidRPr="00145798" w:rsidRDefault="006510D9" w:rsidP="004E586F">
            <w:pPr>
              <w:jc w:val="both"/>
              <w:rPr>
                <w:rFonts w:ascii="Times New Roman" w:hAnsi="Times New Roman" w:cs="Times New Roman"/>
              </w:rPr>
            </w:pPr>
          </w:p>
        </w:tc>
        <w:tc>
          <w:tcPr>
            <w:tcW w:w="4394" w:type="dxa"/>
          </w:tcPr>
          <w:p w14:paraId="6DD5CCC7" w14:textId="03ADF0E6" w:rsidR="006510D9" w:rsidRPr="001A23B1" w:rsidRDefault="006510D9" w:rsidP="004E586F">
            <w:pPr>
              <w:spacing w:after="0" w:line="240" w:lineRule="auto"/>
              <w:jc w:val="both"/>
              <w:rPr>
                <w:rFonts w:ascii="Times New Roman" w:hAnsi="Times New Roman" w:cs="Times New Roman"/>
              </w:rPr>
            </w:pPr>
            <w:r>
              <w:rPr>
                <w:rFonts w:ascii="Times New Roman" w:hAnsi="Times New Roman" w:cs="Times New Roman"/>
              </w:rPr>
              <w:t>In base al</w:t>
            </w:r>
            <w:r w:rsidRPr="001A23B1">
              <w:rPr>
                <w:rFonts w:ascii="Times New Roman" w:hAnsi="Times New Roman" w:cs="Times New Roman"/>
              </w:rPr>
              <w:t xml:space="preserve"> concetto di accettazione annuale dei conti,</w:t>
            </w:r>
            <w:r>
              <w:rPr>
                <w:rFonts w:ascii="Times New Roman" w:hAnsi="Times New Roman" w:cs="Times New Roman"/>
              </w:rPr>
              <w:t xml:space="preserve"> </w:t>
            </w:r>
            <w:r w:rsidRPr="001A23B1">
              <w:rPr>
                <w:rFonts w:ascii="Times New Roman" w:hAnsi="Times New Roman" w:cs="Times New Roman"/>
              </w:rPr>
              <w:t xml:space="preserve">le domande di pagamento sono cumulative solo all'interno di un determinato </w:t>
            </w:r>
            <w:r>
              <w:rPr>
                <w:rFonts w:ascii="Times New Roman" w:hAnsi="Times New Roman" w:cs="Times New Roman"/>
              </w:rPr>
              <w:t>periodo</w:t>
            </w:r>
            <w:r w:rsidRPr="001A23B1">
              <w:rPr>
                <w:rFonts w:ascii="Times New Roman" w:hAnsi="Times New Roman" w:cs="Times New Roman"/>
              </w:rPr>
              <w:t xml:space="preserve"> contabile. Pertanto, se un asse prioritario raggiunge il contributo massimo dei Fondi stabilito nella decisione della Commissione che approva il programma prima dell'ultimo </w:t>
            </w:r>
            <w:r>
              <w:rPr>
                <w:rFonts w:ascii="Times New Roman" w:hAnsi="Times New Roman" w:cs="Times New Roman"/>
              </w:rPr>
              <w:t>periodo</w:t>
            </w:r>
            <w:r w:rsidRPr="001A23B1">
              <w:rPr>
                <w:rFonts w:ascii="Times New Roman" w:hAnsi="Times New Roman" w:cs="Times New Roman"/>
              </w:rPr>
              <w:t xml:space="preserve"> contabile (cioè già nel 2022), gli importi dichiarati (e ammissibili per questa priorità) non saranno "</w:t>
            </w:r>
            <w:r>
              <w:rPr>
                <w:rFonts w:ascii="Times New Roman" w:hAnsi="Times New Roman" w:cs="Times New Roman"/>
              </w:rPr>
              <w:t>riportati</w:t>
            </w:r>
            <w:r w:rsidRPr="001A23B1">
              <w:rPr>
                <w:rFonts w:ascii="Times New Roman" w:hAnsi="Times New Roman" w:cs="Times New Roman"/>
              </w:rPr>
              <w:t>"</w:t>
            </w:r>
            <w:r>
              <w:rPr>
                <w:rFonts w:ascii="Times New Roman" w:hAnsi="Times New Roman" w:cs="Times New Roman"/>
              </w:rPr>
              <w:t xml:space="preserve"> </w:t>
            </w:r>
            <w:r w:rsidRPr="001A23B1">
              <w:rPr>
                <w:rFonts w:ascii="Times New Roman" w:hAnsi="Times New Roman" w:cs="Times New Roman"/>
              </w:rPr>
              <w:t xml:space="preserve">all'anno contabile successivo, in quanto la dichiarazione di spesa ricomincia da 0. </w:t>
            </w:r>
          </w:p>
          <w:p w14:paraId="3E1DD35F" w14:textId="77777777" w:rsidR="006510D9" w:rsidRPr="001A23B1" w:rsidRDefault="006510D9" w:rsidP="004E586F">
            <w:pPr>
              <w:spacing w:after="0" w:line="240" w:lineRule="auto"/>
              <w:jc w:val="both"/>
              <w:rPr>
                <w:rFonts w:ascii="Times New Roman" w:hAnsi="Times New Roman" w:cs="Times New Roman"/>
              </w:rPr>
            </w:pPr>
            <w:r w:rsidRPr="001A23B1">
              <w:rPr>
                <w:rFonts w:ascii="Times New Roman" w:hAnsi="Times New Roman" w:cs="Times New Roman"/>
              </w:rPr>
              <w:t>Di conseguenza, l'"overbooking" viene perso per il programma.</w:t>
            </w:r>
          </w:p>
          <w:p w14:paraId="309AB50A" w14:textId="63992BD1" w:rsidR="006510D9" w:rsidRPr="001A23B1" w:rsidRDefault="006510D9" w:rsidP="004E586F">
            <w:pPr>
              <w:spacing w:after="0" w:line="240" w:lineRule="auto"/>
              <w:jc w:val="both"/>
              <w:rPr>
                <w:rFonts w:ascii="Times New Roman" w:hAnsi="Times New Roman" w:cs="Times New Roman"/>
              </w:rPr>
            </w:pPr>
            <w:r w:rsidRPr="001A23B1">
              <w:rPr>
                <w:rFonts w:ascii="Times New Roman" w:hAnsi="Times New Roman" w:cs="Times New Roman"/>
              </w:rPr>
              <w:t xml:space="preserve">Una soluzione a questo problema proposta nella bozza </w:t>
            </w:r>
            <w:r>
              <w:rPr>
                <w:rFonts w:ascii="Times New Roman" w:hAnsi="Times New Roman" w:cs="Times New Roman"/>
              </w:rPr>
              <w:t>degli Orientamenti su</w:t>
            </w:r>
            <w:r w:rsidRPr="001A23B1">
              <w:rPr>
                <w:rFonts w:ascii="Times New Roman" w:hAnsi="Times New Roman" w:cs="Times New Roman"/>
              </w:rPr>
              <w:t>la chiusura è che le autorità di certificazione possano</w:t>
            </w:r>
            <w:r>
              <w:rPr>
                <w:rFonts w:ascii="Times New Roman" w:hAnsi="Times New Roman" w:cs="Times New Roman"/>
              </w:rPr>
              <w:t xml:space="preserve"> d</w:t>
            </w:r>
            <w:r w:rsidRPr="001A23B1">
              <w:rPr>
                <w:rFonts w:ascii="Times New Roman" w:hAnsi="Times New Roman" w:cs="Times New Roman"/>
              </w:rPr>
              <w:t>ecidere che gli importi</w:t>
            </w:r>
          </w:p>
          <w:p w14:paraId="3A201C92" w14:textId="25FA4108" w:rsidR="006510D9" w:rsidRPr="001A23B1" w:rsidRDefault="006510D9" w:rsidP="004E586F">
            <w:pPr>
              <w:spacing w:after="0" w:line="240" w:lineRule="auto"/>
              <w:jc w:val="both"/>
              <w:rPr>
                <w:rFonts w:ascii="Times New Roman" w:hAnsi="Times New Roman" w:cs="Times New Roman"/>
              </w:rPr>
            </w:pPr>
            <w:r w:rsidRPr="001A23B1">
              <w:rPr>
                <w:rFonts w:ascii="Times New Roman" w:hAnsi="Times New Roman" w:cs="Times New Roman"/>
              </w:rPr>
              <w:t xml:space="preserve">contabilizzati nei loro sistemi contabili in un </w:t>
            </w:r>
            <w:r>
              <w:rPr>
                <w:rFonts w:ascii="Times New Roman" w:hAnsi="Times New Roman" w:cs="Times New Roman"/>
              </w:rPr>
              <w:t>periodo</w:t>
            </w:r>
            <w:r w:rsidRPr="001A23B1">
              <w:rPr>
                <w:rFonts w:ascii="Times New Roman" w:hAnsi="Times New Roman" w:cs="Times New Roman"/>
              </w:rPr>
              <w:t xml:space="preserve"> contabile siano dichiarati alla Commissione in un </w:t>
            </w:r>
            <w:r>
              <w:rPr>
                <w:rFonts w:ascii="Times New Roman" w:hAnsi="Times New Roman" w:cs="Times New Roman"/>
              </w:rPr>
              <w:t>periodo</w:t>
            </w:r>
            <w:r w:rsidRPr="001A23B1">
              <w:rPr>
                <w:rFonts w:ascii="Times New Roman" w:hAnsi="Times New Roman" w:cs="Times New Roman"/>
              </w:rPr>
              <w:t xml:space="preserve"> contabile successivo o </w:t>
            </w:r>
            <w:r>
              <w:rPr>
                <w:rFonts w:ascii="Times New Roman" w:hAnsi="Times New Roman" w:cs="Times New Roman"/>
              </w:rPr>
              <w:t>nel periodo</w:t>
            </w:r>
            <w:r w:rsidRPr="001A23B1">
              <w:rPr>
                <w:rFonts w:ascii="Times New Roman" w:hAnsi="Times New Roman" w:cs="Times New Roman"/>
              </w:rPr>
              <w:t xml:space="preserve"> contabile finale.</w:t>
            </w:r>
          </w:p>
          <w:p w14:paraId="7CF4E201" w14:textId="418836C8" w:rsidR="006510D9" w:rsidRPr="001A23B1" w:rsidRDefault="006510D9" w:rsidP="004E586F">
            <w:pPr>
              <w:spacing w:after="0" w:line="240" w:lineRule="auto"/>
              <w:jc w:val="both"/>
              <w:rPr>
                <w:rFonts w:ascii="Times New Roman" w:hAnsi="Times New Roman" w:cs="Times New Roman"/>
              </w:rPr>
            </w:pPr>
            <w:r w:rsidRPr="001A23B1">
              <w:rPr>
                <w:rFonts w:ascii="Times New Roman" w:hAnsi="Times New Roman" w:cs="Times New Roman"/>
              </w:rPr>
              <w:lastRenderedPageBreak/>
              <w:t>Se gli Stati membri desiderano avere a disposizione spesa aggiuntiva eccedente la dotazione del programm</w:t>
            </w:r>
            <w:r>
              <w:rPr>
                <w:rFonts w:ascii="Times New Roman" w:hAnsi="Times New Roman" w:cs="Times New Roman"/>
              </w:rPr>
              <w:t xml:space="preserve">a nel periodo </w:t>
            </w:r>
            <w:r w:rsidRPr="001A23B1">
              <w:rPr>
                <w:rFonts w:ascii="Times New Roman" w:hAnsi="Times New Roman" w:cs="Times New Roman"/>
              </w:rPr>
              <w:t>contabile finale, possono astenersi dal</w:t>
            </w:r>
          </w:p>
          <w:p w14:paraId="67900DB7" w14:textId="7A36BBA2" w:rsidR="006510D9" w:rsidRPr="001A23B1" w:rsidRDefault="006510D9" w:rsidP="004E586F">
            <w:pPr>
              <w:spacing w:after="0" w:line="240" w:lineRule="auto"/>
              <w:jc w:val="both"/>
              <w:rPr>
                <w:rFonts w:ascii="Times New Roman" w:hAnsi="Times New Roman" w:cs="Times New Roman"/>
              </w:rPr>
            </w:pPr>
            <w:r w:rsidRPr="001A23B1">
              <w:rPr>
                <w:rFonts w:ascii="Times New Roman" w:hAnsi="Times New Roman" w:cs="Times New Roman"/>
              </w:rPr>
              <w:t xml:space="preserve">dichiarare alla Commissione </w:t>
            </w:r>
            <w:r>
              <w:rPr>
                <w:rFonts w:ascii="Times New Roman" w:hAnsi="Times New Roman" w:cs="Times New Roman"/>
              </w:rPr>
              <w:t xml:space="preserve">tale spesa aggiuntiva </w:t>
            </w:r>
            <w:r w:rsidRPr="001A23B1">
              <w:rPr>
                <w:rFonts w:ascii="Times New Roman" w:hAnsi="Times New Roman" w:cs="Times New Roman"/>
              </w:rPr>
              <w:t xml:space="preserve">in qualsiasi </w:t>
            </w:r>
            <w:r>
              <w:rPr>
                <w:rFonts w:ascii="Times New Roman" w:hAnsi="Times New Roman" w:cs="Times New Roman"/>
              </w:rPr>
              <w:t>periodo</w:t>
            </w:r>
            <w:r w:rsidRPr="001A23B1">
              <w:rPr>
                <w:rFonts w:ascii="Times New Roman" w:hAnsi="Times New Roman" w:cs="Times New Roman"/>
              </w:rPr>
              <w:t xml:space="preserve"> contabile prima di quello finale e utilizzare </w:t>
            </w:r>
            <w:r>
              <w:rPr>
                <w:rFonts w:ascii="Times New Roman" w:hAnsi="Times New Roman" w:cs="Times New Roman"/>
              </w:rPr>
              <w:t>tale</w:t>
            </w:r>
            <w:r w:rsidRPr="001A23B1">
              <w:rPr>
                <w:rFonts w:ascii="Times New Roman" w:hAnsi="Times New Roman" w:cs="Times New Roman"/>
              </w:rPr>
              <w:t xml:space="preserve"> spes</w:t>
            </w:r>
            <w:r>
              <w:rPr>
                <w:rFonts w:ascii="Times New Roman" w:hAnsi="Times New Roman" w:cs="Times New Roman"/>
              </w:rPr>
              <w:t xml:space="preserve">a </w:t>
            </w:r>
            <w:r w:rsidRPr="001A23B1">
              <w:rPr>
                <w:rFonts w:ascii="Times New Roman" w:hAnsi="Times New Roman" w:cs="Times New Roman"/>
              </w:rPr>
              <w:t>tenendo conto delle esigenze del programma.</w:t>
            </w:r>
          </w:p>
          <w:p w14:paraId="51390E4B" w14:textId="766C951B" w:rsidR="006510D9" w:rsidRPr="001A23B1" w:rsidRDefault="006510D9" w:rsidP="004E586F">
            <w:pPr>
              <w:jc w:val="both"/>
              <w:rPr>
                <w:rFonts w:ascii="Times New Roman" w:hAnsi="Times New Roman" w:cs="Times New Roman"/>
              </w:rPr>
            </w:pPr>
            <w:r w:rsidRPr="001A23B1">
              <w:rPr>
                <w:rFonts w:ascii="Times New Roman" w:hAnsi="Times New Roman" w:cs="Times New Roman"/>
              </w:rPr>
              <w:t>Gli Stati membri possono considerare di dichiarare spesa aggiuntiva eccedente la dotazione del programm</w:t>
            </w:r>
            <w:r>
              <w:rPr>
                <w:rFonts w:ascii="Times New Roman" w:hAnsi="Times New Roman" w:cs="Times New Roman"/>
              </w:rPr>
              <w:t>a</w:t>
            </w:r>
            <w:r>
              <w:rPr>
                <w:rFonts w:ascii="Times New Roman" w:hAnsi="Times New Roman" w:cs="Times New Roman"/>
              </w:rPr>
              <w:t xml:space="preserve"> </w:t>
            </w:r>
            <w:r w:rsidRPr="001A23B1">
              <w:rPr>
                <w:rFonts w:ascii="Times New Roman" w:hAnsi="Times New Roman" w:cs="Times New Roman"/>
              </w:rPr>
              <w:t>solo ne</w:t>
            </w:r>
            <w:r>
              <w:rPr>
                <w:rFonts w:ascii="Times New Roman" w:hAnsi="Times New Roman" w:cs="Times New Roman"/>
              </w:rPr>
              <w:t>l periodo</w:t>
            </w:r>
            <w:r w:rsidRPr="001A23B1">
              <w:rPr>
                <w:rFonts w:ascii="Times New Roman" w:hAnsi="Times New Roman" w:cs="Times New Roman"/>
              </w:rPr>
              <w:t xml:space="preserve"> contabile finale, tranne nel caso in cui: a) debbano dichiararle in un </w:t>
            </w:r>
            <w:r>
              <w:rPr>
                <w:rFonts w:ascii="Times New Roman" w:hAnsi="Times New Roman" w:cs="Times New Roman"/>
              </w:rPr>
              <w:t>periodo</w:t>
            </w:r>
            <w:r w:rsidRPr="001A23B1">
              <w:rPr>
                <w:rFonts w:ascii="Times New Roman" w:hAnsi="Times New Roman" w:cs="Times New Roman"/>
              </w:rPr>
              <w:t xml:space="preserve"> contabile precedente per sostituire gli importi irregolari rilevati; </w:t>
            </w:r>
          </w:p>
          <w:p w14:paraId="40BAB117" w14:textId="6A46A87E" w:rsidR="006510D9" w:rsidRPr="00775C55" w:rsidRDefault="006510D9" w:rsidP="004E586F">
            <w:pPr>
              <w:jc w:val="both"/>
              <w:rPr>
                <w:rFonts w:ascii="Times New Roman" w:hAnsi="Times New Roman" w:cs="Times New Roman"/>
              </w:rPr>
            </w:pPr>
            <w:r w:rsidRPr="001A23B1">
              <w:rPr>
                <w:rFonts w:ascii="Times New Roman" w:hAnsi="Times New Roman" w:cs="Times New Roman"/>
              </w:rPr>
              <w:t xml:space="preserve">oppure b) modifichino il piano </w:t>
            </w:r>
            <w:r>
              <w:rPr>
                <w:rFonts w:ascii="Times New Roman" w:hAnsi="Times New Roman" w:cs="Times New Roman"/>
              </w:rPr>
              <w:t>finanziario</w:t>
            </w:r>
            <w:r w:rsidRPr="001A23B1">
              <w:rPr>
                <w:rFonts w:ascii="Times New Roman" w:hAnsi="Times New Roman" w:cs="Times New Roman"/>
              </w:rPr>
              <w:t xml:space="preserve"> in conformità alle norme applicabili alle modifiche del programma.</w:t>
            </w:r>
          </w:p>
        </w:tc>
      </w:tr>
      <w:tr w:rsidR="00DE1BD2" w:rsidRPr="00775C55" w14:paraId="6E0830AE" w14:textId="77777777" w:rsidTr="006510D9">
        <w:tc>
          <w:tcPr>
            <w:tcW w:w="796" w:type="dxa"/>
          </w:tcPr>
          <w:p w14:paraId="65522713" w14:textId="4243799E" w:rsidR="00DE1BD2" w:rsidRDefault="00DE1BD2" w:rsidP="004E586F">
            <w:pPr>
              <w:jc w:val="both"/>
              <w:rPr>
                <w:rFonts w:ascii="Times New Roman" w:hAnsi="Times New Roman" w:cs="Times New Roman"/>
              </w:rPr>
            </w:pPr>
            <w:r>
              <w:rPr>
                <w:rFonts w:ascii="Times New Roman" w:hAnsi="Times New Roman" w:cs="Times New Roman"/>
              </w:rPr>
              <w:lastRenderedPageBreak/>
              <w:t>114</w:t>
            </w:r>
          </w:p>
        </w:tc>
        <w:tc>
          <w:tcPr>
            <w:tcW w:w="1454" w:type="dxa"/>
          </w:tcPr>
          <w:p w14:paraId="1BB1F5F2" w14:textId="544060B3" w:rsidR="00DE1BD2" w:rsidRDefault="00DE1BD2" w:rsidP="004E586F">
            <w:pPr>
              <w:jc w:val="both"/>
              <w:rPr>
                <w:rFonts w:ascii="Times New Roman" w:hAnsi="Times New Roman" w:cs="Times New Roman"/>
              </w:rPr>
            </w:pPr>
            <w:r>
              <w:rPr>
                <w:rFonts w:ascii="Times New Roman" w:hAnsi="Times New Roman" w:cs="Times New Roman"/>
              </w:rPr>
              <w:t>Francia</w:t>
            </w:r>
          </w:p>
        </w:tc>
        <w:tc>
          <w:tcPr>
            <w:tcW w:w="1738" w:type="dxa"/>
          </w:tcPr>
          <w:p w14:paraId="153509ED" w14:textId="2C6A4E42" w:rsidR="00DE1BD2" w:rsidRDefault="00DE1BD2" w:rsidP="004E586F">
            <w:pPr>
              <w:rPr>
                <w:rFonts w:ascii="Times New Roman" w:hAnsi="Times New Roman" w:cs="Times New Roman"/>
              </w:rPr>
            </w:pPr>
            <w:r w:rsidRPr="004E586F">
              <w:rPr>
                <w:rFonts w:ascii="Times New Roman" w:hAnsi="Times New Roman" w:cs="Times New Roman"/>
              </w:rPr>
              <w:t>06. Scaglionamento di alcune operazione nell'arco di due periodi di programmazione</w:t>
            </w:r>
          </w:p>
        </w:tc>
        <w:tc>
          <w:tcPr>
            <w:tcW w:w="1992" w:type="dxa"/>
          </w:tcPr>
          <w:p w14:paraId="2ECA87BD" w14:textId="1809346B" w:rsidR="00DE1BD2" w:rsidRDefault="00DE1BD2" w:rsidP="004E586F">
            <w:pPr>
              <w:jc w:val="both"/>
              <w:rPr>
                <w:rFonts w:ascii="Times New Roman" w:hAnsi="Times New Roman" w:cs="Times New Roman"/>
              </w:rPr>
            </w:pPr>
            <w:r>
              <w:rPr>
                <w:rFonts w:ascii="Times New Roman" w:hAnsi="Times New Roman" w:cs="Times New Roman"/>
              </w:rPr>
              <w:t>Strumenti finanziari</w:t>
            </w:r>
          </w:p>
        </w:tc>
        <w:tc>
          <w:tcPr>
            <w:tcW w:w="3796" w:type="dxa"/>
          </w:tcPr>
          <w:p w14:paraId="1A2253F7" w14:textId="77777777" w:rsidR="00DE1BD2" w:rsidRPr="00DE1BD2" w:rsidRDefault="00DE1BD2" w:rsidP="00DE1BD2">
            <w:pPr>
              <w:spacing w:after="0" w:line="240" w:lineRule="auto"/>
              <w:jc w:val="both"/>
              <w:rPr>
                <w:rFonts w:ascii="Times New Roman" w:hAnsi="Times New Roman" w:cs="Times New Roman"/>
              </w:rPr>
            </w:pPr>
            <w:r w:rsidRPr="00DE1BD2">
              <w:rPr>
                <w:rFonts w:ascii="Times New Roman" w:hAnsi="Times New Roman" w:cs="Times New Roman"/>
              </w:rPr>
              <w:t>Gli strumenti finanziari possono essere</w:t>
            </w:r>
          </w:p>
          <w:p w14:paraId="2AC631CE" w14:textId="3F2B1269" w:rsidR="00DE1BD2" w:rsidRPr="00145798" w:rsidRDefault="00DE1BD2" w:rsidP="00DE1BD2">
            <w:pPr>
              <w:jc w:val="both"/>
              <w:rPr>
                <w:rFonts w:ascii="Times New Roman" w:hAnsi="Times New Roman" w:cs="Times New Roman"/>
              </w:rPr>
            </w:pPr>
            <w:r w:rsidRPr="00DE1BD2">
              <w:rPr>
                <w:rFonts w:ascii="Times New Roman" w:hAnsi="Times New Roman" w:cs="Times New Roman"/>
              </w:rPr>
              <w:t xml:space="preserve">iscritti nell'elenco delle operazioni </w:t>
            </w:r>
            <w:r>
              <w:rPr>
                <w:rFonts w:ascii="Times New Roman" w:hAnsi="Times New Roman" w:cs="Times New Roman"/>
              </w:rPr>
              <w:t>scaglionate</w:t>
            </w:r>
            <w:r w:rsidRPr="00DE1BD2">
              <w:rPr>
                <w:rFonts w:ascii="Times New Roman" w:hAnsi="Times New Roman" w:cs="Times New Roman"/>
              </w:rPr>
              <w:t xml:space="preserve"> per la chiusura dei programmi</w:t>
            </w:r>
            <w:r>
              <w:rPr>
                <w:rFonts w:ascii="Times New Roman" w:hAnsi="Times New Roman" w:cs="Times New Roman"/>
              </w:rPr>
              <w:t xml:space="preserve"> </w:t>
            </w:r>
            <w:r w:rsidRPr="00DE1BD2">
              <w:rPr>
                <w:rFonts w:ascii="Times New Roman" w:hAnsi="Times New Roman" w:cs="Times New Roman"/>
              </w:rPr>
              <w:t>per il</w:t>
            </w:r>
            <w:r>
              <w:rPr>
                <w:rFonts w:ascii="Times New Roman" w:hAnsi="Times New Roman" w:cs="Times New Roman"/>
              </w:rPr>
              <w:t xml:space="preserve"> </w:t>
            </w:r>
            <w:r w:rsidRPr="00DE1BD2">
              <w:rPr>
                <w:rFonts w:ascii="Times New Roman" w:hAnsi="Times New Roman" w:cs="Times New Roman"/>
              </w:rPr>
              <w:t xml:space="preserve">periodo di programmazione 2014-2020? </w:t>
            </w:r>
            <w:r>
              <w:rPr>
                <w:rFonts w:ascii="Times New Roman" w:hAnsi="Times New Roman" w:cs="Times New Roman"/>
              </w:rPr>
              <w:t>Talo strumenti erano</w:t>
            </w:r>
            <w:r w:rsidRPr="00DE1BD2">
              <w:rPr>
                <w:rFonts w:ascii="Times New Roman" w:hAnsi="Times New Roman" w:cs="Times New Roman"/>
              </w:rPr>
              <w:t xml:space="preserve"> stati esclusi </w:t>
            </w:r>
            <w:r>
              <w:rPr>
                <w:rFonts w:ascii="Times New Roman" w:hAnsi="Times New Roman" w:cs="Times New Roman"/>
              </w:rPr>
              <w:t>dagli orientamenti</w:t>
            </w:r>
            <w:r w:rsidRPr="00DE1BD2">
              <w:rPr>
                <w:rFonts w:ascii="Times New Roman" w:hAnsi="Times New Roman" w:cs="Times New Roman"/>
              </w:rPr>
              <w:t xml:space="preserve"> sulla</w:t>
            </w:r>
            <w:r>
              <w:rPr>
                <w:rFonts w:ascii="Times New Roman" w:hAnsi="Times New Roman" w:cs="Times New Roman"/>
              </w:rPr>
              <w:t xml:space="preserve"> </w:t>
            </w:r>
            <w:r w:rsidRPr="00DE1BD2">
              <w:rPr>
                <w:rFonts w:ascii="Times New Roman" w:hAnsi="Times New Roman" w:cs="Times New Roman"/>
              </w:rPr>
              <w:t>chiusura 2007-2013. (cfr. 3.4 Regole specifiche</w:t>
            </w:r>
            <w:r>
              <w:rPr>
                <w:rFonts w:ascii="Times New Roman" w:hAnsi="Times New Roman" w:cs="Times New Roman"/>
              </w:rPr>
              <w:t xml:space="preserve"> per lo scaglionamento </w:t>
            </w:r>
            <w:r w:rsidRPr="00DE1BD2">
              <w:rPr>
                <w:rFonts w:ascii="Times New Roman" w:hAnsi="Times New Roman" w:cs="Times New Roman"/>
              </w:rPr>
              <w:t xml:space="preserve">dei progetti </w:t>
            </w:r>
            <w:r>
              <w:rPr>
                <w:rFonts w:ascii="Times New Roman" w:hAnsi="Times New Roman" w:cs="Times New Roman"/>
              </w:rPr>
              <w:t>classificati come “non grandi” nell’arco di</w:t>
            </w:r>
            <w:r w:rsidRPr="00DE1BD2">
              <w:rPr>
                <w:rFonts w:ascii="Times New Roman" w:hAnsi="Times New Roman" w:cs="Times New Roman"/>
              </w:rPr>
              <w:t xml:space="preserve"> due periodi di programmazione -</w:t>
            </w:r>
            <w:r>
              <w:rPr>
                <w:rFonts w:ascii="Times New Roman" w:hAnsi="Times New Roman" w:cs="Times New Roman"/>
              </w:rPr>
              <w:t xml:space="preserve"> orientamenti</w:t>
            </w:r>
            <w:r w:rsidRPr="00DE1BD2">
              <w:rPr>
                <w:rFonts w:ascii="Times New Roman" w:hAnsi="Times New Roman" w:cs="Times New Roman"/>
              </w:rPr>
              <w:t xml:space="preserve"> sulla chiusura 2007-2013)</w:t>
            </w:r>
          </w:p>
        </w:tc>
        <w:tc>
          <w:tcPr>
            <w:tcW w:w="4394" w:type="dxa"/>
          </w:tcPr>
          <w:p w14:paraId="4457D45C" w14:textId="77777777" w:rsidR="00191CF6" w:rsidRPr="00191CF6" w:rsidRDefault="00191CF6" w:rsidP="00191CF6">
            <w:pPr>
              <w:spacing w:after="0" w:line="240" w:lineRule="auto"/>
              <w:jc w:val="both"/>
              <w:rPr>
                <w:rFonts w:ascii="Times New Roman" w:hAnsi="Times New Roman" w:cs="Times New Roman"/>
              </w:rPr>
            </w:pPr>
            <w:r w:rsidRPr="00191CF6">
              <w:rPr>
                <w:rFonts w:ascii="Times New Roman" w:hAnsi="Times New Roman" w:cs="Times New Roman"/>
              </w:rPr>
              <w:t>Nella bozza degli Orientamenti sulla chiusura è stato inserito un chiarimento che prevede che gli strumenti finanziari non possono essere scaglionati.</w:t>
            </w:r>
          </w:p>
          <w:p w14:paraId="787AADB4" w14:textId="77777777" w:rsidR="00191CF6" w:rsidRPr="00191CF6" w:rsidRDefault="00191CF6" w:rsidP="00191CF6">
            <w:pPr>
              <w:spacing w:after="0" w:line="240" w:lineRule="auto"/>
              <w:jc w:val="both"/>
              <w:rPr>
                <w:rFonts w:ascii="Times New Roman" w:hAnsi="Times New Roman" w:cs="Times New Roman"/>
              </w:rPr>
            </w:pPr>
            <w:r w:rsidRPr="00191CF6">
              <w:rPr>
                <w:rFonts w:ascii="Times New Roman" w:hAnsi="Times New Roman" w:cs="Times New Roman"/>
              </w:rPr>
              <w:t>Il motivo per cui non è possibile procedere per fasi nel caso degli strumenti finanziari deriva dalla definizione di operazione nel contesto degli strumenti finanziari (articolo 2, paragrafo 9, dell’RDC) e dall'ammissibilità delle spese per gli strumenti finanziari (articolo 2, paragrafo 9, dell’RDC). La definizione stabilisce che " nel contesto degli strumenti finanziari, un'operazione è costituita dai contributi finanziari di un programma agli strumenti finanziari e dal successivo sostegno finanziario fornito da tali strumenti finanziari ".</w:t>
            </w:r>
          </w:p>
          <w:p w14:paraId="10718501" w14:textId="1566BBE5" w:rsidR="00DE1BD2" w:rsidRDefault="00191CF6" w:rsidP="00191CF6">
            <w:pPr>
              <w:jc w:val="both"/>
              <w:rPr>
                <w:rFonts w:ascii="Times New Roman" w:hAnsi="Times New Roman" w:cs="Times New Roman"/>
              </w:rPr>
            </w:pPr>
            <w:r w:rsidRPr="00191CF6">
              <w:rPr>
                <w:rFonts w:ascii="Times New Roman" w:hAnsi="Times New Roman" w:cs="Times New Roman"/>
              </w:rPr>
              <w:t>L'operazione nel contesto degli strumenti finanziari non implica l'attuazione fisica di un investimento. Le risorse del programma 2014-</w:t>
            </w:r>
            <w:r w:rsidRPr="00191CF6">
              <w:rPr>
                <w:rFonts w:ascii="Times New Roman" w:hAnsi="Times New Roman" w:cs="Times New Roman"/>
              </w:rPr>
              <w:lastRenderedPageBreak/>
              <w:t>2020 destinate allo strumento finanziario non possono essere spese nel periodo di programmazione successivo; vale a dire che solo le risorse del programma utilizzate per gli scopi di cui all'articolo 42 dell’RDC entro il periodo di ammissibilità sono considerate spese ammissibili alla chiusura.</w:t>
            </w:r>
          </w:p>
        </w:tc>
      </w:tr>
      <w:tr w:rsidR="006510D9" w:rsidRPr="00775C55" w14:paraId="11C4E170" w14:textId="77777777" w:rsidTr="006510D9">
        <w:tc>
          <w:tcPr>
            <w:tcW w:w="796" w:type="dxa"/>
          </w:tcPr>
          <w:p w14:paraId="12DD1594" w14:textId="6BA57226" w:rsidR="006510D9" w:rsidRPr="00775C55" w:rsidRDefault="006510D9" w:rsidP="004E586F">
            <w:pPr>
              <w:jc w:val="both"/>
              <w:rPr>
                <w:rFonts w:ascii="Times New Roman" w:hAnsi="Times New Roman" w:cs="Times New Roman"/>
              </w:rPr>
            </w:pPr>
            <w:r>
              <w:rPr>
                <w:rFonts w:ascii="Times New Roman" w:hAnsi="Times New Roman" w:cs="Times New Roman"/>
              </w:rPr>
              <w:lastRenderedPageBreak/>
              <w:t>131</w:t>
            </w:r>
          </w:p>
        </w:tc>
        <w:tc>
          <w:tcPr>
            <w:tcW w:w="1454" w:type="dxa"/>
          </w:tcPr>
          <w:p w14:paraId="46918E3B" w14:textId="28432E65" w:rsidR="006510D9" w:rsidRPr="00775C55" w:rsidRDefault="006510D9" w:rsidP="004E586F">
            <w:pPr>
              <w:jc w:val="both"/>
              <w:rPr>
                <w:rFonts w:ascii="Times New Roman" w:hAnsi="Times New Roman" w:cs="Times New Roman"/>
              </w:rPr>
            </w:pPr>
            <w:r>
              <w:rPr>
                <w:rFonts w:ascii="Times New Roman" w:hAnsi="Times New Roman" w:cs="Times New Roman"/>
              </w:rPr>
              <w:t>Ungheria</w:t>
            </w:r>
          </w:p>
        </w:tc>
        <w:tc>
          <w:tcPr>
            <w:tcW w:w="1738" w:type="dxa"/>
          </w:tcPr>
          <w:p w14:paraId="590A4180" w14:textId="6430FE73" w:rsidR="006510D9" w:rsidRPr="004E586F" w:rsidRDefault="006510D9" w:rsidP="004E586F">
            <w:pPr>
              <w:rPr>
                <w:rFonts w:ascii="Times New Roman" w:hAnsi="Times New Roman" w:cs="Times New Roman"/>
              </w:rPr>
            </w:pPr>
            <w:r w:rsidRPr="004E586F">
              <w:rPr>
                <w:rFonts w:ascii="Times New Roman" w:hAnsi="Times New Roman" w:cs="Times New Roman"/>
              </w:rPr>
              <w:t xml:space="preserve">06. Scaglionamento di alcune operazione </w:t>
            </w:r>
            <w:r w:rsidRPr="004E586F">
              <w:rPr>
                <w:rFonts w:ascii="Times New Roman" w:hAnsi="Times New Roman" w:cs="Times New Roman"/>
              </w:rPr>
              <w:t>nell'arco di due periodi di programmazione</w:t>
            </w:r>
          </w:p>
        </w:tc>
        <w:tc>
          <w:tcPr>
            <w:tcW w:w="1992" w:type="dxa"/>
          </w:tcPr>
          <w:p w14:paraId="797FC40E" w14:textId="576E0A5E" w:rsidR="006510D9" w:rsidRPr="00775C55" w:rsidRDefault="006510D9" w:rsidP="004E586F">
            <w:pPr>
              <w:jc w:val="both"/>
              <w:rPr>
                <w:rFonts w:ascii="Times New Roman" w:hAnsi="Times New Roman" w:cs="Times New Roman"/>
              </w:rPr>
            </w:pPr>
            <w:r>
              <w:rPr>
                <w:rFonts w:ascii="Times New Roman" w:hAnsi="Times New Roman" w:cs="Times New Roman"/>
              </w:rPr>
              <w:t>Scaglionamento finanziario</w:t>
            </w:r>
          </w:p>
        </w:tc>
        <w:tc>
          <w:tcPr>
            <w:tcW w:w="3796" w:type="dxa"/>
          </w:tcPr>
          <w:p w14:paraId="15DC1E46" w14:textId="7289F137" w:rsidR="006510D9" w:rsidRPr="00E20505" w:rsidRDefault="006510D9" w:rsidP="004E586F">
            <w:pPr>
              <w:spacing w:after="0" w:line="240" w:lineRule="auto"/>
              <w:jc w:val="both"/>
              <w:rPr>
                <w:rFonts w:ascii="Times New Roman" w:hAnsi="Times New Roman" w:cs="Times New Roman"/>
              </w:rPr>
            </w:pPr>
            <w:r w:rsidRPr="00E20505">
              <w:rPr>
                <w:rFonts w:ascii="Times New Roman" w:hAnsi="Times New Roman" w:cs="Times New Roman"/>
              </w:rPr>
              <w:t>Se un'operazione viene</w:t>
            </w:r>
            <w:r>
              <w:rPr>
                <w:rFonts w:ascii="Times New Roman" w:hAnsi="Times New Roman" w:cs="Times New Roman"/>
              </w:rPr>
              <w:t xml:space="preserve"> scaglionata</w:t>
            </w:r>
            <w:r w:rsidRPr="00E20505">
              <w:rPr>
                <w:rFonts w:ascii="Times New Roman" w:hAnsi="Times New Roman" w:cs="Times New Roman"/>
              </w:rPr>
              <w:t>, cosa accadrà con gli anticipi contrattuali</w:t>
            </w:r>
            <w:r>
              <w:rPr>
                <w:rFonts w:ascii="Times New Roman" w:hAnsi="Times New Roman" w:cs="Times New Roman"/>
              </w:rPr>
              <w:t xml:space="preserve"> c</w:t>
            </w:r>
            <w:r w:rsidRPr="00E20505">
              <w:rPr>
                <w:rFonts w:ascii="Times New Roman" w:hAnsi="Times New Roman" w:cs="Times New Roman"/>
              </w:rPr>
              <w:t xml:space="preserve">he non sono </w:t>
            </w:r>
            <w:r>
              <w:rPr>
                <w:rFonts w:ascii="Times New Roman" w:hAnsi="Times New Roman" w:cs="Times New Roman"/>
              </w:rPr>
              <w:t>associati alla</w:t>
            </w:r>
          </w:p>
          <w:p w14:paraId="71CC92EA" w14:textId="17250B6A" w:rsidR="006510D9" w:rsidRPr="00E20505" w:rsidRDefault="006510D9" w:rsidP="004E586F">
            <w:pPr>
              <w:spacing w:after="0" w:line="240" w:lineRule="auto"/>
              <w:jc w:val="both"/>
              <w:rPr>
                <w:rFonts w:ascii="Times New Roman" w:hAnsi="Times New Roman" w:cs="Times New Roman"/>
              </w:rPr>
            </w:pPr>
            <w:r w:rsidRPr="00E20505">
              <w:rPr>
                <w:rFonts w:ascii="Times New Roman" w:hAnsi="Times New Roman" w:cs="Times New Roman"/>
              </w:rPr>
              <w:t>consegna fisica (lavori, servizi) fino alla</w:t>
            </w:r>
            <w:r>
              <w:rPr>
                <w:rFonts w:ascii="Times New Roman" w:hAnsi="Times New Roman" w:cs="Times New Roman"/>
              </w:rPr>
              <w:t xml:space="preserve"> f</w:t>
            </w:r>
            <w:r w:rsidRPr="00E20505">
              <w:rPr>
                <w:rFonts w:ascii="Times New Roman" w:hAnsi="Times New Roman" w:cs="Times New Roman"/>
              </w:rPr>
              <w:t>ine della prima fase? A nostro</w:t>
            </w:r>
          </w:p>
          <w:p w14:paraId="6E376FD3" w14:textId="20BFE441" w:rsidR="006510D9" w:rsidRPr="00E20505" w:rsidRDefault="006510D9" w:rsidP="004E586F">
            <w:pPr>
              <w:spacing w:after="0" w:line="240" w:lineRule="auto"/>
              <w:jc w:val="both"/>
              <w:rPr>
                <w:rFonts w:ascii="Times New Roman" w:hAnsi="Times New Roman" w:cs="Times New Roman"/>
              </w:rPr>
            </w:pPr>
            <w:r>
              <w:rPr>
                <w:rFonts w:ascii="Times New Roman" w:hAnsi="Times New Roman" w:cs="Times New Roman"/>
              </w:rPr>
              <w:t>parere</w:t>
            </w:r>
            <w:r w:rsidRPr="00E20505">
              <w:rPr>
                <w:rFonts w:ascii="Times New Roman" w:hAnsi="Times New Roman" w:cs="Times New Roman"/>
              </w:rPr>
              <w:t xml:space="preserve">, è </w:t>
            </w:r>
            <w:r>
              <w:rPr>
                <w:rFonts w:ascii="Times New Roman" w:hAnsi="Times New Roman" w:cs="Times New Roman"/>
              </w:rPr>
              <w:t>responsabilità</w:t>
            </w:r>
            <w:r w:rsidRPr="00E20505">
              <w:rPr>
                <w:rFonts w:ascii="Times New Roman" w:hAnsi="Times New Roman" w:cs="Times New Roman"/>
              </w:rPr>
              <w:t xml:space="preserve"> dello Stato membro</w:t>
            </w:r>
            <w:r>
              <w:rPr>
                <w:rFonts w:ascii="Times New Roman" w:hAnsi="Times New Roman" w:cs="Times New Roman"/>
              </w:rPr>
              <w:t xml:space="preserve"> </w:t>
            </w:r>
            <w:r w:rsidRPr="00E20505">
              <w:rPr>
                <w:rFonts w:ascii="Times New Roman" w:hAnsi="Times New Roman" w:cs="Times New Roman"/>
              </w:rPr>
              <w:t>determinare le regole contabili dell'anticipo</w:t>
            </w:r>
            <w:r>
              <w:rPr>
                <w:rFonts w:ascii="Times New Roman" w:hAnsi="Times New Roman" w:cs="Times New Roman"/>
              </w:rPr>
              <w:t xml:space="preserve"> contrattuale.</w:t>
            </w:r>
          </w:p>
          <w:p w14:paraId="35915741" w14:textId="7CA44AC8" w:rsidR="006510D9" w:rsidRPr="00775C55" w:rsidRDefault="006510D9" w:rsidP="004E586F">
            <w:pPr>
              <w:jc w:val="both"/>
              <w:rPr>
                <w:rFonts w:ascii="Times New Roman" w:hAnsi="Times New Roman" w:cs="Times New Roman"/>
              </w:rPr>
            </w:pPr>
          </w:p>
        </w:tc>
        <w:tc>
          <w:tcPr>
            <w:tcW w:w="4394" w:type="dxa"/>
          </w:tcPr>
          <w:p w14:paraId="23CD305B" w14:textId="5B9019D7" w:rsidR="006510D9" w:rsidRPr="00775C55" w:rsidRDefault="006510D9" w:rsidP="004E586F">
            <w:pPr>
              <w:jc w:val="both"/>
              <w:rPr>
                <w:rFonts w:ascii="Times New Roman" w:hAnsi="Times New Roman" w:cs="Times New Roman"/>
              </w:rPr>
            </w:pPr>
            <w:r w:rsidRPr="0073555F">
              <w:rPr>
                <w:rFonts w:ascii="Times New Roman" w:hAnsi="Times New Roman" w:cs="Times New Roman"/>
              </w:rPr>
              <w:t>A norma degli articoli 65, paragrafo 2 e 131, paragrafo 2 dell’RDC 2014-2020, i pagamenti da parte dei beneficiari devono essere effettuati prima del 31 dicembre 2023 affinché la spesa sia ammissibile. Pertanto, gli anticipi contrattuali possono essere ammissibili, a condizione che siano pagati dal beneficiario entro il periodo di ammissibilità in applicazione di un obbligo contrattuale e debitamente giustificati attraverso fatture o documenti con valore probatorio equivalente. Nel periodo di programmazione 2014-2020 non è possibile certificare le spese sotto forma di soli anticipi non coperti da attività realizzate sul campo. Se un contratto copre due fasi, l'anticipo relativo all'intero contratto (che copre entrambe le fasi) è ammissibile alla chiusura, a condizione che l'intero importo dell'anticipo sia coperto dalla fornitura di lavori, attrezzature o servizi per un valore almeno equivalente all'anticipo, come indicato nei conti del periodo contabile finale</w:t>
            </w:r>
          </w:p>
        </w:tc>
      </w:tr>
      <w:tr w:rsidR="00C86A0B" w:rsidRPr="004F2631" w14:paraId="799639EE" w14:textId="77777777" w:rsidTr="006510D9">
        <w:trPr>
          <w:trHeight w:val="5472"/>
        </w:trPr>
        <w:tc>
          <w:tcPr>
            <w:tcW w:w="796" w:type="dxa"/>
          </w:tcPr>
          <w:p w14:paraId="2611BA7D" w14:textId="1F0B71A8" w:rsidR="00C86A0B" w:rsidRDefault="00C86A0B" w:rsidP="004E586F">
            <w:pPr>
              <w:jc w:val="both"/>
              <w:rPr>
                <w:rFonts w:ascii="Times New Roman" w:hAnsi="Times New Roman" w:cs="Times New Roman"/>
              </w:rPr>
            </w:pPr>
            <w:r>
              <w:rPr>
                <w:rFonts w:ascii="Times New Roman" w:hAnsi="Times New Roman" w:cs="Times New Roman"/>
              </w:rPr>
              <w:lastRenderedPageBreak/>
              <w:t>266</w:t>
            </w:r>
          </w:p>
        </w:tc>
        <w:tc>
          <w:tcPr>
            <w:tcW w:w="1454" w:type="dxa"/>
          </w:tcPr>
          <w:p w14:paraId="112C2382" w14:textId="527CF15B" w:rsidR="00C86A0B" w:rsidRDefault="00C86A0B" w:rsidP="004E586F">
            <w:pPr>
              <w:jc w:val="both"/>
              <w:rPr>
                <w:rFonts w:ascii="Times New Roman" w:hAnsi="Times New Roman" w:cs="Times New Roman"/>
              </w:rPr>
            </w:pPr>
            <w:r>
              <w:rPr>
                <w:rFonts w:ascii="Times New Roman" w:hAnsi="Times New Roman" w:cs="Times New Roman"/>
              </w:rPr>
              <w:t>Polonia</w:t>
            </w:r>
          </w:p>
        </w:tc>
        <w:tc>
          <w:tcPr>
            <w:tcW w:w="1738" w:type="dxa"/>
          </w:tcPr>
          <w:p w14:paraId="655ADA63" w14:textId="3B9A3FA7" w:rsidR="00C86A0B" w:rsidRDefault="00942DBD" w:rsidP="004E586F">
            <w:pPr>
              <w:rPr>
                <w:rFonts w:ascii="Times New Roman" w:hAnsi="Times New Roman" w:cs="Times New Roman"/>
              </w:rPr>
            </w:pPr>
            <w:r>
              <w:rPr>
                <w:rFonts w:ascii="Times New Roman" w:hAnsi="Times New Roman" w:cs="Times New Roman"/>
              </w:rPr>
              <w:t>Temi non affrontati negli Orientamenti</w:t>
            </w:r>
          </w:p>
        </w:tc>
        <w:tc>
          <w:tcPr>
            <w:tcW w:w="1992" w:type="dxa"/>
          </w:tcPr>
          <w:p w14:paraId="6978EF97" w14:textId="403F411F" w:rsidR="00C86A0B" w:rsidRDefault="00942DBD" w:rsidP="004E586F">
            <w:pPr>
              <w:jc w:val="both"/>
              <w:rPr>
                <w:rFonts w:ascii="Times New Roman" w:hAnsi="Times New Roman" w:cs="Times New Roman"/>
              </w:rPr>
            </w:pPr>
            <w:r>
              <w:rPr>
                <w:rFonts w:ascii="Times New Roman" w:hAnsi="Times New Roman" w:cs="Times New Roman"/>
              </w:rPr>
              <w:t>Strumenti finanziari</w:t>
            </w:r>
          </w:p>
        </w:tc>
        <w:tc>
          <w:tcPr>
            <w:tcW w:w="3796" w:type="dxa"/>
          </w:tcPr>
          <w:p w14:paraId="6872E1E0" w14:textId="77777777" w:rsidR="00803EE7" w:rsidRPr="00803EE7" w:rsidRDefault="00803EE7" w:rsidP="004E586F">
            <w:pPr>
              <w:spacing w:after="0" w:line="240" w:lineRule="auto"/>
              <w:jc w:val="both"/>
              <w:rPr>
                <w:rFonts w:ascii="Times New Roman" w:hAnsi="Times New Roman" w:cs="Times New Roman"/>
              </w:rPr>
            </w:pPr>
            <w:r w:rsidRPr="00803EE7">
              <w:rPr>
                <w:rFonts w:ascii="Times New Roman" w:hAnsi="Times New Roman" w:cs="Times New Roman"/>
              </w:rPr>
              <w:t>Non ci sono linee guida specifiche sugli</w:t>
            </w:r>
          </w:p>
          <w:p w14:paraId="1A50339B" w14:textId="568BD408" w:rsidR="00803EE7" w:rsidRPr="00803EE7" w:rsidRDefault="00803EE7" w:rsidP="004E586F">
            <w:pPr>
              <w:spacing w:after="0" w:line="240" w:lineRule="auto"/>
              <w:jc w:val="both"/>
              <w:rPr>
                <w:rFonts w:ascii="Times New Roman" w:hAnsi="Times New Roman" w:cs="Times New Roman"/>
              </w:rPr>
            </w:pPr>
            <w:r w:rsidRPr="00803EE7">
              <w:rPr>
                <w:rFonts w:ascii="Times New Roman" w:hAnsi="Times New Roman" w:cs="Times New Roman"/>
              </w:rPr>
              <w:t xml:space="preserve">strumenti finanziari, a differenza del </w:t>
            </w:r>
          </w:p>
          <w:p w14:paraId="11D883FF" w14:textId="57678AAB" w:rsidR="00803EE7" w:rsidRPr="00803EE7" w:rsidRDefault="00803EE7" w:rsidP="004E586F">
            <w:pPr>
              <w:jc w:val="both"/>
              <w:rPr>
                <w:rFonts w:ascii="Times New Roman" w:hAnsi="Times New Roman" w:cs="Times New Roman"/>
              </w:rPr>
            </w:pPr>
            <w:r w:rsidRPr="00803EE7">
              <w:rPr>
                <w:rFonts w:ascii="Times New Roman" w:hAnsi="Times New Roman" w:cs="Times New Roman"/>
              </w:rPr>
              <w:t>periodo di programmazione 2007-2013</w:t>
            </w:r>
            <w:r>
              <w:rPr>
                <w:rFonts w:ascii="Times New Roman" w:hAnsi="Times New Roman" w:cs="Times New Roman"/>
              </w:rPr>
              <w:t>.</w:t>
            </w:r>
          </w:p>
          <w:p w14:paraId="3A4C9A70" w14:textId="372388F6" w:rsidR="00803EE7" w:rsidRPr="00803EE7" w:rsidRDefault="00803EE7" w:rsidP="004E586F">
            <w:pPr>
              <w:spacing w:after="0" w:line="240" w:lineRule="auto"/>
              <w:jc w:val="both"/>
              <w:rPr>
                <w:rFonts w:ascii="Times New Roman" w:hAnsi="Times New Roman" w:cs="Times New Roman"/>
              </w:rPr>
            </w:pPr>
            <w:r w:rsidRPr="00803EE7">
              <w:rPr>
                <w:rFonts w:ascii="Times New Roman" w:hAnsi="Times New Roman" w:cs="Times New Roman"/>
              </w:rPr>
              <w:t>Pertanto:</w:t>
            </w:r>
          </w:p>
          <w:p w14:paraId="15D324B1" w14:textId="5FB0E13D" w:rsidR="00803EE7" w:rsidRPr="00803EE7" w:rsidRDefault="00803EE7" w:rsidP="004E586F">
            <w:pPr>
              <w:spacing w:after="0" w:line="240" w:lineRule="auto"/>
              <w:jc w:val="both"/>
              <w:rPr>
                <w:rFonts w:ascii="Times New Roman" w:hAnsi="Times New Roman" w:cs="Times New Roman"/>
              </w:rPr>
            </w:pPr>
            <w:r w:rsidRPr="00803EE7">
              <w:rPr>
                <w:rFonts w:ascii="Times New Roman" w:hAnsi="Times New Roman" w:cs="Times New Roman"/>
              </w:rPr>
              <w:t>1. Si prega di confermare che, affinché la spesa</w:t>
            </w:r>
            <w:r>
              <w:rPr>
                <w:rFonts w:ascii="Times New Roman" w:hAnsi="Times New Roman" w:cs="Times New Roman"/>
              </w:rPr>
              <w:t xml:space="preserve"> possa essere considerata</w:t>
            </w:r>
            <w:r w:rsidRPr="00803EE7">
              <w:rPr>
                <w:rFonts w:ascii="Times New Roman" w:hAnsi="Times New Roman" w:cs="Times New Roman"/>
              </w:rPr>
              <w:t xml:space="preserve"> ammissibil</w:t>
            </w:r>
            <w:r>
              <w:rPr>
                <w:rFonts w:ascii="Times New Roman" w:hAnsi="Times New Roman" w:cs="Times New Roman"/>
              </w:rPr>
              <w:t xml:space="preserve">e </w:t>
            </w:r>
            <w:r w:rsidRPr="00803EE7">
              <w:rPr>
                <w:rFonts w:ascii="Times New Roman" w:hAnsi="Times New Roman" w:cs="Times New Roman"/>
              </w:rPr>
              <w:t>alla chiusura, non è</w:t>
            </w:r>
          </w:p>
          <w:p w14:paraId="3ABB1F3B" w14:textId="4B50C77E" w:rsidR="00803EE7" w:rsidRPr="00803EE7" w:rsidRDefault="00803EE7" w:rsidP="004E586F">
            <w:pPr>
              <w:spacing w:after="0" w:line="240" w:lineRule="auto"/>
              <w:jc w:val="both"/>
              <w:rPr>
                <w:rFonts w:ascii="Times New Roman" w:hAnsi="Times New Roman" w:cs="Times New Roman"/>
              </w:rPr>
            </w:pPr>
            <w:r w:rsidRPr="00803EE7">
              <w:rPr>
                <w:rFonts w:ascii="Times New Roman" w:hAnsi="Times New Roman" w:cs="Times New Roman"/>
              </w:rPr>
              <w:t>non è necessario che il destinatario finale</w:t>
            </w:r>
            <w:r>
              <w:rPr>
                <w:rFonts w:ascii="Times New Roman" w:hAnsi="Times New Roman" w:cs="Times New Roman"/>
              </w:rPr>
              <w:t xml:space="preserve"> </w:t>
            </w:r>
            <w:r w:rsidRPr="00803EE7">
              <w:rPr>
                <w:rFonts w:ascii="Times New Roman" w:hAnsi="Times New Roman" w:cs="Times New Roman"/>
              </w:rPr>
              <w:t>abbia completato l'attuazione di un</w:t>
            </w:r>
            <w:r>
              <w:rPr>
                <w:rFonts w:ascii="Times New Roman" w:hAnsi="Times New Roman" w:cs="Times New Roman"/>
              </w:rPr>
              <w:t xml:space="preserve"> </w:t>
            </w:r>
            <w:r w:rsidRPr="00803EE7">
              <w:rPr>
                <w:rFonts w:ascii="Times New Roman" w:hAnsi="Times New Roman" w:cs="Times New Roman"/>
              </w:rPr>
              <w:t>investimento entro la fine del periodo di ammissibilità</w:t>
            </w:r>
          </w:p>
          <w:p w14:paraId="37A9E849" w14:textId="7501FCA5" w:rsidR="00803EE7" w:rsidRPr="00803EE7" w:rsidRDefault="00803EE7" w:rsidP="004E586F">
            <w:pPr>
              <w:spacing w:after="0" w:line="240" w:lineRule="auto"/>
              <w:jc w:val="both"/>
              <w:rPr>
                <w:rFonts w:ascii="Times New Roman" w:hAnsi="Times New Roman" w:cs="Times New Roman"/>
              </w:rPr>
            </w:pPr>
            <w:r w:rsidRPr="00803EE7">
              <w:rPr>
                <w:rFonts w:ascii="Times New Roman" w:hAnsi="Times New Roman" w:cs="Times New Roman"/>
              </w:rPr>
              <w:t>o alla presentazione dei documenti di chiusura.</w:t>
            </w:r>
          </w:p>
          <w:p w14:paraId="0A964ACF" w14:textId="5751D2BD" w:rsidR="00803EE7" w:rsidRPr="00803EE7" w:rsidRDefault="00803EE7" w:rsidP="004E586F">
            <w:pPr>
              <w:spacing w:after="0" w:line="240" w:lineRule="auto"/>
              <w:jc w:val="both"/>
              <w:rPr>
                <w:rFonts w:ascii="Times New Roman" w:hAnsi="Times New Roman" w:cs="Times New Roman"/>
              </w:rPr>
            </w:pPr>
            <w:r w:rsidRPr="00803EE7">
              <w:rPr>
                <w:rFonts w:ascii="Times New Roman" w:hAnsi="Times New Roman" w:cs="Times New Roman"/>
              </w:rPr>
              <w:t xml:space="preserve">2. Si prega di chiarire </w:t>
            </w:r>
            <w:r>
              <w:rPr>
                <w:rFonts w:ascii="Times New Roman" w:hAnsi="Times New Roman" w:cs="Times New Roman"/>
              </w:rPr>
              <w:t>in che modo</w:t>
            </w:r>
            <w:r w:rsidRPr="00803EE7">
              <w:rPr>
                <w:rFonts w:ascii="Times New Roman" w:hAnsi="Times New Roman" w:cs="Times New Roman"/>
              </w:rPr>
              <w:t xml:space="preserve"> le risorse residue</w:t>
            </w:r>
            <w:r>
              <w:rPr>
                <w:rFonts w:ascii="Times New Roman" w:hAnsi="Times New Roman" w:cs="Times New Roman"/>
              </w:rPr>
              <w:t xml:space="preserve"> </w:t>
            </w:r>
            <w:r w:rsidRPr="00803EE7">
              <w:rPr>
                <w:rFonts w:ascii="Times New Roman" w:hAnsi="Times New Roman" w:cs="Times New Roman"/>
              </w:rPr>
              <w:t>versate in un conto vincolato (in</w:t>
            </w:r>
            <w:r>
              <w:rPr>
                <w:rFonts w:ascii="Times New Roman" w:hAnsi="Times New Roman" w:cs="Times New Roman"/>
              </w:rPr>
              <w:t xml:space="preserve"> </w:t>
            </w:r>
            <w:r w:rsidRPr="00803EE7">
              <w:rPr>
                <w:rFonts w:ascii="Times New Roman" w:hAnsi="Times New Roman" w:cs="Times New Roman"/>
              </w:rPr>
              <w:t>linea con l'articolo 42(3) de</w:t>
            </w:r>
            <w:r>
              <w:rPr>
                <w:rFonts w:ascii="Times New Roman" w:hAnsi="Times New Roman" w:cs="Times New Roman"/>
              </w:rPr>
              <w:t>l</w:t>
            </w:r>
            <w:r w:rsidR="00F32551">
              <w:rPr>
                <w:rFonts w:ascii="Times New Roman" w:hAnsi="Times New Roman" w:cs="Times New Roman"/>
              </w:rPr>
              <w:t>l</w:t>
            </w:r>
            <w:r>
              <w:rPr>
                <w:rFonts w:ascii="Times New Roman" w:hAnsi="Times New Roman" w:cs="Times New Roman"/>
              </w:rPr>
              <w:t>’RDC</w:t>
            </w:r>
            <w:r w:rsidRPr="00803EE7">
              <w:rPr>
                <w:rFonts w:ascii="Times New Roman" w:hAnsi="Times New Roman" w:cs="Times New Roman"/>
              </w:rPr>
              <w:t>) devono essere</w:t>
            </w:r>
          </w:p>
          <w:p w14:paraId="42C0B0C7" w14:textId="6CE7F3BE" w:rsidR="00803EE7" w:rsidRPr="00803EE7" w:rsidRDefault="00803EE7" w:rsidP="004E586F">
            <w:pPr>
              <w:spacing w:after="0" w:line="240" w:lineRule="auto"/>
              <w:jc w:val="both"/>
              <w:rPr>
                <w:rFonts w:ascii="Times New Roman" w:hAnsi="Times New Roman" w:cs="Times New Roman"/>
              </w:rPr>
            </w:pPr>
            <w:r w:rsidRPr="00803EE7">
              <w:rPr>
                <w:rFonts w:ascii="Times New Roman" w:hAnsi="Times New Roman" w:cs="Times New Roman"/>
              </w:rPr>
              <w:t>R</w:t>
            </w:r>
            <w:r w:rsidRPr="00803EE7">
              <w:rPr>
                <w:rFonts w:ascii="Times New Roman" w:hAnsi="Times New Roman" w:cs="Times New Roman"/>
              </w:rPr>
              <w:t>endicontate</w:t>
            </w:r>
            <w:r>
              <w:rPr>
                <w:rFonts w:ascii="Times New Roman" w:hAnsi="Times New Roman" w:cs="Times New Roman"/>
              </w:rPr>
              <w:t>.</w:t>
            </w:r>
          </w:p>
          <w:p w14:paraId="7650CE04" w14:textId="37665FE4" w:rsidR="00803EE7" w:rsidRPr="00803EE7" w:rsidRDefault="00803EE7" w:rsidP="004E586F">
            <w:pPr>
              <w:spacing w:after="0" w:line="240" w:lineRule="auto"/>
              <w:jc w:val="both"/>
              <w:rPr>
                <w:rFonts w:ascii="Times New Roman" w:hAnsi="Times New Roman" w:cs="Times New Roman"/>
              </w:rPr>
            </w:pPr>
            <w:r w:rsidRPr="00803EE7">
              <w:rPr>
                <w:rFonts w:ascii="Times New Roman" w:hAnsi="Times New Roman" w:cs="Times New Roman"/>
              </w:rPr>
              <w:t xml:space="preserve">3. </w:t>
            </w:r>
            <w:r>
              <w:rPr>
                <w:rFonts w:ascii="Times New Roman" w:hAnsi="Times New Roman" w:cs="Times New Roman"/>
              </w:rPr>
              <w:t>Si prega di confermare</w:t>
            </w:r>
            <w:r w:rsidRPr="00803EE7">
              <w:rPr>
                <w:rFonts w:ascii="Times New Roman" w:hAnsi="Times New Roman" w:cs="Times New Roman"/>
              </w:rPr>
              <w:t xml:space="preserve"> che l'utilizzo degli interessi</w:t>
            </w:r>
            <w:r>
              <w:rPr>
                <w:rFonts w:ascii="Times New Roman" w:hAnsi="Times New Roman" w:cs="Times New Roman"/>
              </w:rPr>
              <w:t xml:space="preserve"> </w:t>
            </w:r>
            <w:r w:rsidRPr="00803EE7">
              <w:rPr>
                <w:rFonts w:ascii="Times New Roman" w:hAnsi="Times New Roman" w:cs="Times New Roman"/>
              </w:rPr>
              <w:t xml:space="preserve">generati dai pagamenti del programma non </w:t>
            </w:r>
            <w:r>
              <w:rPr>
                <w:rFonts w:ascii="Times New Roman" w:hAnsi="Times New Roman" w:cs="Times New Roman"/>
              </w:rPr>
              <w:t>devono</w:t>
            </w:r>
            <w:r w:rsidRPr="00803EE7">
              <w:rPr>
                <w:rFonts w:ascii="Times New Roman" w:hAnsi="Times New Roman" w:cs="Times New Roman"/>
              </w:rPr>
              <w:t xml:space="preserve"> essere presentat</w:t>
            </w:r>
            <w:r>
              <w:rPr>
                <w:rFonts w:ascii="Times New Roman" w:hAnsi="Times New Roman" w:cs="Times New Roman"/>
              </w:rPr>
              <w:t>i</w:t>
            </w:r>
            <w:r w:rsidRPr="00803EE7">
              <w:rPr>
                <w:rFonts w:ascii="Times New Roman" w:hAnsi="Times New Roman" w:cs="Times New Roman"/>
              </w:rPr>
              <w:t xml:space="preserve"> nei</w:t>
            </w:r>
            <w:r>
              <w:rPr>
                <w:rFonts w:ascii="Times New Roman" w:hAnsi="Times New Roman" w:cs="Times New Roman"/>
              </w:rPr>
              <w:t xml:space="preserve"> </w:t>
            </w:r>
            <w:r w:rsidRPr="00803EE7">
              <w:rPr>
                <w:rFonts w:ascii="Times New Roman" w:hAnsi="Times New Roman" w:cs="Times New Roman"/>
              </w:rPr>
              <w:t>documenti di chiusura in dettaglio, ma qualsiasi</w:t>
            </w:r>
            <w:r>
              <w:rPr>
                <w:rFonts w:ascii="Times New Roman" w:hAnsi="Times New Roman" w:cs="Times New Roman"/>
              </w:rPr>
              <w:t xml:space="preserve"> </w:t>
            </w:r>
            <w:r w:rsidRPr="00803EE7">
              <w:rPr>
                <w:rFonts w:ascii="Times New Roman" w:hAnsi="Times New Roman" w:cs="Times New Roman"/>
              </w:rPr>
              <w:t>import</w:t>
            </w:r>
            <w:r>
              <w:rPr>
                <w:rFonts w:ascii="Times New Roman" w:hAnsi="Times New Roman" w:cs="Times New Roman"/>
              </w:rPr>
              <w:t>o</w:t>
            </w:r>
            <w:r w:rsidRPr="00803EE7">
              <w:rPr>
                <w:rFonts w:ascii="Times New Roman" w:hAnsi="Times New Roman" w:cs="Times New Roman"/>
              </w:rPr>
              <w:t xml:space="preserve"> non utilizzat</w:t>
            </w:r>
            <w:r>
              <w:rPr>
                <w:rFonts w:ascii="Times New Roman" w:hAnsi="Times New Roman" w:cs="Times New Roman"/>
              </w:rPr>
              <w:t xml:space="preserve">o </w:t>
            </w:r>
            <w:r w:rsidRPr="00803EE7">
              <w:rPr>
                <w:rFonts w:ascii="Times New Roman" w:hAnsi="Times New Roman" w:cs="Times New Roman"/>
              </w:rPr>
              <w:t>in conformità con le</w:t>
            </w:r>
            <w:r>
              <w:rPr>
                <w:rFonts w:ascii="Times New Roman" w:hAnsi="Times New Roman" w:cs="Times New Roman"/>
              </w:rPr>
              <w:t xml:space="preserve"> </w:t>
            </w:r>
            <w:r w:rsidRPr="00803EE7">
              <w:rPr>
                <w:rFonts w:ascii="Times New Roman" w:hAnsi="Times New Roman" w:cs="Times New Roman"/>
              </w:rPr>
              <w:t>disposizioni dell'articolo 43</w:t>
            </w:r>
            <w:r>
              <w:rPr>
                <w:rFonts w:ascii="Times New Roman" w:hAnsi="Times New Roman" w:cs="Times New Roman"/>
              </w:rPr>
              <w:t xml:space="preserve">, paragrafo </w:t>
            </w:r>
            <w:r w:rsidRPr="00803EE7">
              <w:rPr>
                <w:rFonts w:ascii="Times New Roman" w:hAnsi="Times New Roman" w:cs="Times New Roman"/>
              </w:rPr>
              <w:t xml:space="preserve">2 </w:t>
            </w:r>
            <w:r>
              <w:rPr>
                <w:rFonts w:ascii="Times New Roman" w:hAnsi="Times New Roman" w:cs="Times New Roman"/>
              </w:rPr>
              <w:t>dell’RDC, dovrebbe</w:t>
            </w:r>
            <w:r w:rsidRPr="00803EE7">
              <w:rPr>
                <w:rFonts w:ascii="Times New Roman" w:hAnsi="Times New Roman" w:cs="Times New Roman"/>
              </w:rPr>
              <w:t xml:space="preserve"> essere indicat</w:t>
            </w:r>
            <w:r>
              <w:rPr>
                <w:rFonts w:ascii="Times New Roman" w:hAnsi="Times New Roman" w:cs="Times New Roman"/>
              </w:rPr>
              <w:t>o</w:t>
            </w:r>
            <w:r w:rsidRPr="00803EE7">
              <w:rPr>
                <w:rFonts w:ascii="Times New Roman" w:hAnsi="Times New Roman" w:cs="Times New Roman"/>
              </w:rPr>
              <w:t xml:space="preserve"> e dedott</w:t>
            </w:r>
            <w:r>
              <w:rPr>
                <w:rFonts w:ascii="Times New Roman" w:hAnsi="Times New Roman" w:cs="Times New Roman"/>
              </w:rPr>
              <w:t>o</w:t>
            </w:r>
            <w:r w:rsidRPr="00803EE7">
              <w:rPr>
                <w:rFonts w:ascii="Times New Roman" w:hAnsi="Times New Roman" w:cs="Times New Roman"/>
              </w:rPr>
              <w:t xml:space="preserve"> dall</w:t>
            </w:r>
            <w:r>
              <w:rPr>
                <w:rFonts w:ascii="Times New Roman" w:hAnsi="Times New Roman" w:cs="Times New Roman"/>
              </w:rPr>
              <w:t xml:space="preserve">e </w:t>
            </w:r>
            <w:r w:rsidRPr="00803EE7">
              <w:rPr>
                <w:rFonts w:ascii="Times New Roman" w:hAnsi="Times New Roman" w:cs="Times New Roman"/>
              </w:rPr>
              <w:t>spese ammissibili.</w:t>
            </w:r>
          </w:p>
          <w:p w14:paraId="375FE63A" w14:textId="6F95FA17" w:rsidR="00803EE7" w:rsidRPr="00803EE7" w:rsidRDefault="00803EE7" w:rsidP="004E586F">
            <w:pPr>
              <w:spacing w:after="0" w:line="240" w:lineRule="auto"/>
              <w:jc w:val="both"/>
              <w:rPr>
                <w:rFonts w:ascii="Times New Roman" w:hAnsi="Times New Roman" w:cs="Times New Roman"/>
              </w:rPr>
            </w:pPr>
            <w:r w:rsidRPr="00803EE7">
              <w:rPr>
                <w:rFonts w:ascii="Times New Roman" w:hAnsi="Times New Roman" w:cs="Times New Roman"/>
              </w:rPr>
              <w:t>4. Si prega di confermare che la domanda di</w:t>
            </w:r>
            <w:r>
              <w:rPr>
                <w:rFonts w:ascii="Times New Roman" w:hAnsi="Times New Roman" w:cs="Times New Roman"/>
              </w:rPr>
              <w:t xml:space="preserve"> </w:t>
            </w:r>
            <w:r w:rsidRPr="00803EE7">
              <w:rPr>
                <w:rFonts w:ascii="Times New Roman" w:hAnsi="Times New Roman" w:cs="Times New Roman"/>
              </w:rPr>
              <w:t>pagamento del saldo finale (</w:t>
            </w:r>
            <w:r>
              <w:rPr>
                <w:rFonts w:ascii="Times New Roman" w:hAnsi="Times New Roman" w:cs="Times New Roman"/>
              </w:rPr>
              <w:t>di cui al</w:t>
            </w:r>
            <w:r w:rsidRPr="00803EE7">
              <w:rPr>
                <w:rFonts w:ascii="Times New Roman" w:hAnsi="Times New Roman" w:cs="Times New Roman"/>
              </w:rPr>
              <w:t>l'articolo</w:t>
            </w:r>
            <w:r>
              <w:rPr>
                <w:rFonts w:ascii="Times New Roman" w:hAnsi="Times New Roman" w:cs="Times New Roman"/>
              </w:rPr>
              <w:t xml:space="preserve"> </w:t>
            </w:r>
            <w:r w:rsidRPr="00803EE7">
              <w:rPr>
                <w:rFonts w:ascii="Times New Roman" w:hAnsi="Times New Roman" w:cs="Times New Roman"/>
              </w:rPr>
              <w:t>articolo 41, paragrafo 1, de</w:t>
            </w:r>
            <w:r>
              <w:rPr>
                <w:rFonts w:ascii="Times New Roman" w:hAnsi="Times New Roman" w:cs="Times New Roman"/>
              </w:rPr>
              <w:t>ll’RDC</w:t>
            </w:r>
            <w:r w:rsidRPr="00803EE7">
              <w:rPr>
                <w:rFonts w:ascii="Times New Roman" w:hAnsi="Times New Roman" w:cs="Times New Roman"/>
              </w:rPr>
              <w:t xml:space="preserve">) </w:t>
            </w:r>
            <w:r>
              <w:rPr>
                <w:rFonts w:ascii="Times New Roman" w:hAnsi="Times New Roman" w:cs="Times New Roman"/>
              </w:rPr>
              <w:t xml:space="preserve">deve utilizzare lo stesso </w:t>
            </w:r>
          </w:p>
          <w:p w14:paraId="751013F6" w14:textId="7FB88FF8" w:rsidR="00803EE7" w:rsidRPr="00803EE7" w:rsidRDefault="00803EE7" w:rsidP="004E586F">
            <w:pPr>
              <w:spacing w:after="0" w:line="240" w:lineRule="auto"/>
              <w:jc w:val="both"/>
              <w:rPr>
                <w:rFonts w:ascii="Times New Roman" w:hAnsi="Times New Roman" w:cs="Times New Roman"/>
              </w:rPr>
            </w:pPr>
            <w:r w:rsidRPr="00803EE7">
              <w:rPr>
                <w:rFonts w:ascii="Times New Roman" w:hAnsi="Times New Roman" w:cs="Times New Roman"/>
              </w:rPr>
              <w:t xml:space="preserve">modello </w:t>
            </w:r>
            <w:r w:rsidR="00F32551" w:rsidRPr="00803EE7">
              <w:rPr>
                <w:rFonts w:ascii="Times New Roman" w:hAnsi="Times New Roman" w:cs="Times New Roman"/>
              </w:rPr>
              <w:t>d</w:t>
            </w:r>
            <w:r w:rsidR="00F32551">
              <w:rPr>
                <w:rFonts w:ascii="Times New Roman" w:hAnsi="Times New Roman" w:cs="Times New Roman"/>
              </w:rPr>
              <w:t>ella</w:t>
            </w:r>
            <w:r w:rsidRPr="00803EE7">
              <w:rPr>
                <w:rFonts w:ascii="Times New Roman" w:hAnsi="Times New Roman" w:cs="Times New Roman"/>
              </w:rPr>
              <w:t xml:space="preserve"> domanda di pagamento intermedio.</w:t>
            </w:r>
          </w:p>
          <w:p w14:paraId="5F8C55B6" w14:textId="6C07869C" w:rsidR="00803EE7" w:rsidRPr="00C86A0B" w:rsidRDefault="00803EE7" w:rsidP="004E586F">
            <w:pPr>
              <w:jc w:val="both"/>
              <w:rPr>
                <w:rFonts w:ascii="Times New Roman" w:hAnsi="Times New Roman" w:cs="Times New Roman"/>
                <w:lang w:val="en-US"/>
              </w:rPr>
            </w:pPr>
          </w:p>
        </w:tc>
        <w:tc>
          <w:tcPr>
            <w:tcW w:w="4394" w:type="dxa"/>
          </w:tcPr>
          <w:p w14:paraId="61222964" w14:textId="77777777" w:rsidR="004F2631" w:rsidRPr="004F2631" w:rsidRDefault="004F2631" w:rsidP="004E586F">
            <w:pPr>
              <w:spacing w:after="0" w:line="240" w:lineRule="auto"/>
              <w:jc w:val="both"/>
              <w:rPr>
                <w:rFonts w:ascii="Times New Roman" w:hAnsi="Times New Roman" w:cs="Times New Roman"/>
              </w:rPr>
            </w:pPr>
            <w:r w:rsidRPr="004F2631">
              <w:rPr>
                <w:rFonts w:ascii="Times New Roman" w:hAnsi="Times New Roman" w:cs="Times New Roman"/>
              </w:rPr>
              <w:t>Si veda la risposta al quesito 262.</w:t>
            </w:r>
          </w:p>
          <w:p w14:paraId="769AC5CE" w14:textId="77777777" w:rsidR="004F2631" w:rsidRPr="004F2631" w:rsidRDefault="004F2631" w:rsidP="004E586F">
            <w:pPr>
              <w:spacing w:after="0" w:line="240" w:lineRule="auto"/>
              <w:jc w:val="both"/>
              <w:rPr>
                <w:rFonts w:ascii="Times New Roman" w:hAnsi="Times New Roman" w:cs="Times New Roman"/>
              </w:rPr>
            </w:pPr>
            <w:r w:rsidRPr="004F2631">
              <w:rPr>
                <w:rFonts w:ascii="Times New Roman" w:hAnsi="Times New Roman" w:cs="Times New Roman"/>
              </w:rPr>
              <w:t>1. È possibile che il completamento/attuazione dell'investimento da parte del beneficiario finale prosegua oltre la data di scadenza del periodo di ammissibilità. La bozza degli Orientamenti sulla chiusura prevede che: "Le autorità nazionali di controllo dovrebbero ottenere la garanzia della legittimità e regolarità di queste spese prima della presentazione dei conti per il periodo contabile finale". Tuttavia, non è necessario che il beneficiario finale abbia completato l'attuazione di un investimento sostenuto dallo strumento finanziario entro la presentazione dei documenti di chiusura".</w:t>
            </w:r>
          </w:p>
          <w:p w14:paraId="2AA35FEE" w14:textId="77777777" w:rsidR="004F2631" w:rsidRPr="004F2631" w:rsidRDefault="004F2631" w:rsidP="004E586F">
            <w:pPr>
              <w:spacing w:after="0" w:line="240" w:lineRule="auto"/>
              <w:jc w:val="both"/>
              <w:rPr>
                <w:rFonts w:ascii="Times New Roman" w:hAnsi="Times New Roman" w:cs="Times New Roman"/>
              </w:rPr>
            </w:pPr>
            <w:r w:rsidRPr="004F2631">
              <w:rPr>
                <w:rFonts w:ascii="Times New Roman" w:hAnsi="Times New Roman" w:cs="Times New Roman"/>
              </w:rPr>
              <w:t xml:space="preserve">2. In caso di strumenti </w:t>
            </w:r>
            <w:r w:rsidRPr="00F32551">
              <w:rPr>
                <w:rFonts w:ascii="Times New Roman" w:hAnsi="Times New Roman" w:cs="Times New Roman"/>
                <w:i/>
                <w:iCs/>
              </w:rPr>
              <w:t>equity-based</w:t>
            </w:r>
            <w:r w:rsidRPr="004F2631">
              <w:rPr>
                <w:rFonts w:ascii="Times New Roman" w:hAnsi="Times New Roman" w:cs="Times New Roman"/>
              </w:rPr>
              <w:t xml:space="preserve">, gli importi versati sui conti vincolati devono rispettare le condizioni cumulative di cui all'articolo 42, paragrafo 3, secondo comma, dell’RDC (non un importo residuo). Alla chiusura di un programma, la domanda finale di pagamento intermedio deve includere l'importo totale delle spese ammissibili di cui all'articolo 42 dell’RDC. Ciò è chiarito anche nella nota in calce all'Appendice I dell'Allegato VI del Regolamento di esecuzione (UE) n. 1011/2014 della Commissione. </w:t>
            </w:r>
          </w:p>
          <w:p w14:paraId="58A3FD1C" w14:textId="77777777" w:rsidR="004F2631" w:rsidRPr="004F2631" w:rsidRDefault="004F2631" w:rsidP="004E586F">
            <w:pPr>
              <w:spacing w:after="0" w:line="240" w:lineRule="auto"/>
              <w:jc w:val="both"/>
              <w:rPr>
                <w:rFonts w:ascii="Times New Roman" w:hAnsi="Times New Roman" w:cs="Times New Roman"/>
              </w:rPr>
            </w:pPr>
            <w:r w:rsidRPr="004F2631">
              <w:rPr>
                <w:rFonts w:ascii="Times New Roman" w:hAnsi="Times New Roman" w:cs="Times New Roman"/>
              </w:rPr>
              <w:t xml:space="preserve">L'importo deve essere incluso nella domanda di pagamento e nell'Allegato I della domanda di pagamento nelle colonne A,B, C e D. Nei dati strutturati del modulo di rendicontazione degli strumenti finanziari, l'importo deve essere riportato nel campo dati 20. </w:t>
            </w:r>
          </w:p>
          <w:p w14:paraId="2631F83C" w14:textId="77777777" w:rsidR="004F2631" w:rsidRPr="004F2631" w:rsidRDefault="004F2631" w:rsidP="004E586F">
            <w:pPr>
              <w:spacing w:after="0" w:line="240" w:lineRule="auto"/>
              <w:jc w:val="both"/>
              <w:rPr>
                <w:rFonts w:ascii="Times New Roman" w:hAnsi="Times New Roman" w:cs="Times New Roman"/>
              </w:rPr>
            </w:pPr>
            <w:r w:rsidRPr="004F2631">
              <w:rPr>
                <w:rFonts w:ascii="Times New Roman" w:hAnsi="Times New Roman" w:cs="Times New Roman"/>
              </w:rPr>
              <w:t xml:space="preserve">3. Gli interessi e gli altri guadagni generati dai pagamenti dei Fondi ESI allo strumento finanziario (in EUR) devono essere segnalati nel campo dati 35 nei dati strutturati del modulo di rendicontazione degli strumenti finanziari. Se non viene utilizzato come specificato </w:t>
            </w:r>
            <w:r w:rsidRPr="004F2631">
              <w:rPr>
                <w:rFonts w:ascii="Times New Roman" w:hAnsi="Times New Roman" w:cs="Times New Roman"/>
              </w:rPr>
              <w:lastRenderedPageBreak/>
              <w:t>nell'articolo 43, paragrafo 2 dell’RDC, l'importo deve essere dedotto dalla spesa ammissibile alla chiusura.</w:t>
            </w:r>
          </w:p>
          <w:p w14:paraId="25C10980" w14:textId="26961A8D" w:rsidR="00C86A0B" w:rsidRPr="004F2631" w:rsidRDefault="004F2631" w:rsidP="004E586F">
            <w:pPr>
              <w:jc w:val="both"/>
              <w:rPr>
                <w:rFonts w:ascii="Times New Roman" w:hAnsi="Times New Roman" w:cs="Times New Roman"/>
              </w:rPr>
            </w:pPr>
            <w:r w:rsidRPr="004F2631">
              <w:rPr>
                <w:rFonts w:ascii="Times New Roman" w:hAnsi="Times New Roman" w:cs="Times New Roman"/>
              </w:rPr>
              <w:t xml:space="preserve">4. Sì. L'ultimo comma dell'articolo 41, paragrafo 1 dell’ RDC </w:t>
            </w:r>
            <w:r w:rsidR="00F32551" w:rsidRPr="004F2631">
              <w:rPr>
                <w:rFonts w:ascii="Times New Roman" w:hAnsi="Times New Roman" w:cs="Times New Roman"/>
              </w:rPr>
              <w:t>stabilisce</w:t>
            </w:r>
            <w:r w:rsidRPr="004F2631">
              <w:rPr>
                <w:rFonts w:ascii="Times New Roman" w:hAnsi="Times New Roman" w:cs="Times New Roman"/>
              </w:rPr>
              <w:t xml:space="preserve"> che: "Alla chiusura di un programma, la domanda di pagamento del saldo finale comprende l'importo totale delle spese ammissibili di cui all'articolo 42". Ciò è ulteriormente chiarito dalla nota in calce all'Appendice I dell'Allegato VI del Regolamento di esecuzione (UE) n. 101 della Commissione.</w:t>
            </w:r>
            <w:r w:rsidR="00D027A5">
              <w:rPr>
                <w:rFonts w:ascii="Times New Roman" w:hAnsi="Times New Roman" w:cs="Times New Roman"/>
              </w:rPr>
              <w:t xml:space="preserve">  </w:t>
            </w:r>
          </w:p>
        </w:tc>
      </w:tr>
      <w:tr w:rsidR="006510D9" w:rsidRPr="0073555F" w14:paraId="3F453979" w14:textId="77777777" w:rsidTr="006510D9">
        <w:trPr>
          <w:trHeight w:val="5472"/>
        </w:trPr>
        <w:tc>
          <w:tcPr>
            <w:tcW w:w="796" w:type="dxa"/>
          </w:tcPr>
          <w:p w14:paraId="49093903" w14:textId="35B14370" w:rsidR="006510D9" w:rsidRPr="00775C55" w:rsidRDefault="006510D9" w:rsidP="004E586F">
            <w:pPr>
              <w:jc w:val="both"/>
              <w:rPr>
                <w:rFonts w:ascii="Times New Roman" w:hAnsi="Times New Roman" w:cs="Times New Roman"/>
              </w:rPr>
            </w:pPr>
            <w:r>
              <w:rPr>
                <w:rFonts w:ascii="Times New Roman" w:hAnsi="Times New Roman" w:cs="Times New Roman"/>
              </w:rPr>
              <w:lastRenderedPageBreak/>
              <w:t>267</w:t>
            </w:r>
          </w:p>
        </w:tc>
        <w:tc>
          <w:tcPr>
            <w:tcW w:w="1454" w:type="dxa"/>
          </w:tcPr>
          <w:p w14:paraId="01DD1231" w14:textId="7D5F9A88" w:rsidR="006510D9" w:rsidRPr="00775C55" w:rsidRDefault="006510D9" w:rsidP="004E586F">
            <w:pPr>
              <w:jc w:val="both"/>
              <w:rPr>
                <w:rFonts w:ascii="Times New Roman" w:hAnsi="Times New Roman" w:cs="Times New Roman"/>
              </w:rPr>
            </w:pPr>
            <w:r>
              <w:rPr>
                <w:rFonts w:ascii="Times New Roman" w:hAnsi="Times New Roman" w:cs="Times New Roman"/>
              </w:rPr>
              <w:t>Portogallo</w:t>
            </w:r>
          </w:p>
        </w:tc>
        <w:tc>
          <w:tcPr>
            <w:tcW w:w="1738" w:type="dxa"/>
          </w:tcPr>
          <w:p w14:paraId="190F9D12" w14:textId="5DB9A0C4" w:rsidR="006510D9" w:rsidRPr="00775C55" w:rsidRDefault="006510D9" w:rsidP="004E586F">
            <w:pPr>
              <w:rPr>
                <w:rFonts w:ascii="Times New Roman" w:hAnsi="Times New Roman" w:cs="Times New Roman"/>
              </w:rPr>
            </w:pPr>
            <w:r>
              <w:rPr>
                <w:rFonts w:ascii="Times New Roman" w:hAnsi="Times New Roman" w:cs="Times New Roman"/>
              </w:rPr>
              <w:t>Temi non affrontati negli Orientamenti</w:t>
            </w:r>
          </w:p>
        </w:tc>
        <w:tc>
          <w:tcPr>
            <w:tcW w:w="1992" w:type="dxa"/>
          </w:tcPr>
          <w:p w14:paraId="07098905" w14:textId="78F7DADB" w:rsidR="006510D9" w:rsidRPr="00775C55" w:rsidRDefault="006510D9" w:rsidP="004E586F">
            <w:pPr>
              <w:jc w:val="both"/>
              <w:rPr>
                <w:rFonts w:ascii="Times New Roman" w:hAnsi="Times New Roman" w:cs="Times New Roman"/>
              </w:rPr>
            </w:pPr>
            <w:r>
              <w:rPr>
                <w:rFonts w:ascii="Times New Roman" w:hAnsi="Times New Roman" w:cs="Times New Roman"/>
              </w:rPr>
              <w:t>Strumenti finanziari</w:t>
            </w:r>
          </w:p>
        </w:tc>
        <w:tc>
          <w:tcPr>
            <w:tcW w:w="3796" w:type="dxa"/>
          </w:tcPr>
          <w:p w14:paraId="714A38A2" w14:textId="1739D8C3" w:rsidR="006510D9" w:rsidRPr="0073555F" w:rsidRDefault="006510D9" w:rsidP="004E586F">
            <w:pPr>
              <w:spacing w:after="0" w:line="240" w:lineRule="auto"/>
              <w:jc w:val="both"/>
              <w:rPr>
                <w:rFonts w:ascii="Times New Roman" w:hAnsi="Times New Roman" w:cs="Times New Roman"/>
              </w:rPr>
            </w:pPr>
            <w:r w:rsidRPr="0073555F">
              <w:rPr>
                <w:rFonts w:ascii="Times New Roman" w:hAnsi="Times New Roman" w:cs="Times New Roman"/>
              </w:rPr>
              <w:t>Le autorità portoghesi ritengono che</w:t>
            </w:r>
            <w:r>
              <w:rPr>
                <w:rFonts w:ascii="Times New Roman" w:hAnsi="Times New Roman" w:cs="Times New Roman"/>
              </w:rPr>
              <w:t xml:space="preserve"> la bozza</w:t>
            </w:r>
            <w:r w:rsidRPr="0073555F">
              <w:rPr>
                <w:rFonts w:ascii="Times New Roman" w:hAnsi="Times New Roman" w:cs="Times New Roman"/>
              </w:rPr>
              <w:t xml:space="preserve"> di orientamenti sulla chiusura non </w:t>
            </w:r>
            <w:r>
              <w:rPr>
                <w:rFonts w:ascii="Times New Roman" w:hAnsi="Times New Roman" w:cs="Times New Roman"/>
              </w:rPr>
              <w:t>tratti</w:t>
            </w:r>
            <w:r w:rsidRPr="0073555F">
              <w:rPr>
                <w:rFonts w:ascii="Times New Roman" w:hAnsi="Times New Roman" w:cs="Times New Roman"/>
              </w:rPr>
              <w:t xml:space="preserve"> tutti gli argomenti che riguardano direttamente la chiusura, come ad esempio:</w:t>
            </w:r>
          </w:p>
          <w:p w14:paraId="476B855A" w14:textId="77777777" w:rsidR="006510D9" w:rsidRPr="0073555F" w:rsidRDefault="006510D9" w:rsidP="004E586F">
            <w:pPr>
              <w:spacing w:after="0" w:line="240" w:lineRule="auto"/>
              <w:jc w:val="both"/>
              <w:rPr>
                <w:rFonts w:ascii="Times New Roman" w:hAnsi="Times New Roman" w:cs="Times New Roman"/>
              </w:rPr>
            </w:pPr>
            <w:r w:rsidRPr="0073555F">
              <w:rPr>
                <w:rFonts w:ascii="Times New Roman" w:hAnsi="Times New Roman" w:cs="Times New Roman"/>
              </w:rPr>
              <w:t>Lo stesso chiarimento dovrebbe essere</w:t>
            </w:r>
          </w:p>
          <w:p w14:paraId="13DA4841" w14:textId="533D3C98" w:rsidR="006510D9" w:rsidRPr="0073555F" w:rsidRDefault="006510D9" w:rsidP="004E586F">
            <w:pPr>
              <w:jc w:val="both"/>
              <w:rPr>
                <w:rFonts w:ascii="Times New Roman" w:hAnsi="Times New Roman" w:cs="Times New Roman"/>
              </w:rPr>
            </w:pPr>
            <w:r w:rsidRPr="0073555F">
              <w:rPr>
                <w:rFonts w:ascii="Times New Roman" w:hAnsi="Times New Roman" w:cs="Times New Roman"/>
              </w:rPr>
              <w:t xml:space="preserve">fornito per gli investimenti effettuati </w:t>
            </w:r>
            <w:r>
              <w:rPr>
                <w:rFonts w:ascii="Times New Roman" w:hAnsi="Times New Roman" w:cs="Times New Roman"/>
              </w:rPr>
              <w:t xml:space="preserve">mediante </w:t>
            </w:r>
            <w:r w:rsidRPr="0073555F">
              <w:rPr>
                <w:rFonts w:ascii="Times New Roman" w:hAnsi="Times New Roman" w:cs="Times New Roman"/>
              </w:rPr>
              <w:t>strumenti finanziari nei destinatari finali (possono verificarsi fino, al più tardi, al 30/06/2024, in modo da poter essere inclusi nella domanda finale di pagamento intermedio da presentare entro il 31/07/2024?). Si noti che nel precedente periodo di programmazione questa possibilità era prevista fino alla data di presentazione dei documenti di chiusura.</w:t>
            </w:r>
          </w:p>
        </w:tc>
        <w:tc>
          <w:tcPr>
            <w:tcW w:w="4394" w:type="dxa"/>
          </w:tcPr>
          <w:p w14:paraId="4C252677" w14:textId="1C329B1C" w:rsidR="006510D9" w:rsidRPr="0073555F" w:rsidRDefault="006510D9" w:rsidP="004E586F">
            <w:pPr>
              <w:spacing w:after="0" w:line="240" w:lineRule="auto"/>
              <w:jc w:val="both"/>
              <w:rPr>
                <w:rFonts w:ascii="Times New Roman" w:hAnsi="Times New Roman" w:cs="Times New Roman"/>
              </w:rPr>
            </w:pPr>
            <w:r w:rsidRPr="0073555F">
              <w:rPr>
                <w:rFonts w:ascii="Times New Roman" w:hAnsi="Times New Roman" w:cs="Times New Roman"/>
              </w:rPr>
              <w:t>L'articolo 42, paragrafo 1, del</w:t>
            </w:r>
            <w:r>
              <w:rPr>
                <w:rFonts w:ascii="Times New Roman" w:hAnsi="Times New Roman" w:cs="Times New Roman"/>
              </w:rPr>
              <w:t>l’</w:t>
            </w:r>
            <w:r w:rsidRPr="0073555F">
              <w:rPr>
                <w:rFonts w:ascii="Times New Roman" w:hAnsi="Times New Roman" w:cs="Times New Roman"/>
              </w:rPr>
              <w:t>RDC specifica che "</w:t>
            </w:r>
            <w:r>
              <w:rPr>
                <w:rFonts w:ascii="Times New Roman" w:hAnsi="Times New Roman" w:cs="Times New Roman"/>
              </w:rPr>
              <w:t>A</w:t>
            </w:r>
            <w:r w:rsidRPr="0073555F">
              <w:rPr>
                <w:rFonts w:ascii="Times New Roman" w:hAnsi="Times New Roman" w:cs="Times New Roman"/>
              </w:rPr>
              <w:t>lla chiusura di un programma, la spesa ammissibile degli strumenti finanziari</w:t>
            </w:r>
            <w:r>
              <w:rPr>
                <w:rFonts w:ascii="Times New Roman" w:hAnsi="Times New Roman" w:cs="Times New Roman"/>
              </w:rPr>
              <w:t xml:space="preserve"> </w:t>
            </w:r>
            <w:r w:rsidRPr="0073555F">
              <w:rPr>
                <w:rFonts w:ascii="Times New Roman" w:hAnsi="Times New Roman" w:cs="Times New Roman"/>
              </w:rPr>
              <w:t>è l'importo totale o i contributi al programma effettivamente versati o, nel caso delle garanzie, impegnati dallo strumento finanziario nel periodo di ammissibilità, corrispondente a [...]".</w:t>
            </w:r>
          </w:p>
          <w:p w14:paraId="484170EE" w14:textId="4E66ABE1" w:rsidR="006510D9" w:rsidRPr="0073555F" w:rsidRDefault="006510D9" w:rsidP="004E586F">
            <w:pPr>
              <w:spacing w:after="0" w:line="240" w:lineRule="auto"/>
              <w:jc w:val="both"/>
              <w:rPr>
                <w:rFonts w:ascii="Times New Roman" w:hAnsi="Times New Roman" w:cs="Times New Roman"/>
              </w:rPr>
            </w:pPr>
            <w:r w:rsidRPr="0073555F">
              <w:rPr>
                <w:rFonts w:ascii="Times New Roman" w:hAnsi="Times New Roman" w:cs="Times New Roman"/>
              </w:rPr>
              <w:t>Ad esempio, lo strumento finanziario effettua un investimento di 100 in una PMI, ovvero un pagamento al destinatario finale ai sensi dell'articolo 42</w:t>
            </w:r>
            <w:r>
              <w:rPr>
                <w:rFonts w:ascii="Times New Roman" w:hAnsi="Times New Roman" w:cs="Times New Roman"/>
              </w:rPr>
              <w:t xml:space="preserve">, paragrafo 1, lettera </w:t>
            </w:r>
            <w:r w:rsidRPr="0073555F">
              <w:rPr>
                <w:rFonts w:ascii="Times New Roman" w:hAnsi="Times New Roman" w:cs="Times New Roman"/>
              </w:rPr>
              <w:t>a) del</w:t>
            </w:r>
            <w:r>
              <w:rPr>
                <w:rFonts w:ascii="Times New Roman" w:hAnsi="Times New Roman" w:cs="Times New Roman"/>
              </w:rPr>
              <w:t xml:space="preserve">l’RDC </w:t>
            </w:r>
            <w:r w:rsidRPr="0073555F">
              <w:rPr>
                <w:rFonts w:ascii="Times New Roman" w:hAnsi="Times New Roman" w:cs="Times New Roman"/>
              </w:rPr>
              <w:t>entro il 31 dicembre 2023. 100 sarà incluso</w:t>
            </w:r>
          </w:p>
          <w:p w14:paraId="1196422A" w14:textId="4B77F958" w:rsidR="006510D9" w:rsidRPr="0073555F" w:rsidRDefault="006510D9" w:rsidP="004E586F">
            <w:pPr>
              <w:jc w:val="both"/>
              <w:rPr>
                <w:rFonts w:ascii="Times New Roman" w:hAnsi="Times New Roman" w:cs="Times New Roman"/>
              </w:rPr>
            </w:pPr>
            <w:r w:rsidRPr="0073555F">
              <w:rPr>
                <w:rFonts w:ascii="Times New Roman" w:hAnsi="Times New Roman" w:cs="Times New Roman"/>
              </w:rPr>
              <w:t xml:space="preserve">come </w:t>
            </w:r>
            <w:r>
              <w:rPr>
                <w:rFonts w:ascii="Times New Roman" w:hAnsi="Times New Roman" w:cs="Times New Roman"/>
              </w:rPr>
              <w:t>importo ammissibile</w:t>
            </w:r>
            <w:r w:rsidRPr="0073555F">
              <w:rPr>
                <w:rFonts w:ascii="Times New Roman" w:hAnsi="Times New Roman" w:cs="Times New Roman"/>
              </w:rPr>
              <w:t xml:space="preserve"> nella domanda finale di pagamento intermedio presentata entro il 31/07/2024 e certificat</w:t>
            </w:r>
            <w:r>
              <w:rPr>
                <w:rFonts w:ascii="Times New Roman" w:hAnsi="Times New Roman" w:cs="Times New Roman"/>
              </w:rPr>
              <w:t>o</w:t>
            </w:r>
            <w:r w:rsidRPr="0073555F">
              <w:rPr>
                <w:rFonts w:ascii="Times New Roman" w:hAnsi="Times New Roman" w:cs="Times New Roman"/>
              </w:rPr>
              <w:t xml:space="preserve"> nei conti </w:t>
            </w:r>
            <w:r>
              <w:rPr>
                <w:rFonts w:ascii="Times New Roman" w:hAnsi="Times New Roman" w:cs="Times New Roman"/>
              </w:rPr>
              <w:t>del periodo</w:t>
            </w:r>
            <w:r w:rsidRPr="0073555F">
              <w:rPr>
                <w:rFonts w:ascii="Times New Roman" w:hAnsi="Times New Roman" w:cs="Times New Roman"/>
              </w:rPr>
              <w:t xml:space="preserve"> contabile finale presentati </w:t>
            </w:r>
          </w:p>
          <w:p w14:paraId="3812AB5F" w14:textId="6DF8861B" w:rsidR="006510D9" w:rsidRPr="0073555F" w:rsidRDefault="006510D9" w:rsidP="004E586F">
            <w:pPr>
              <w:jc w:val="both"/>
              <w:rPr>
                <w:rFonts w:ascii="Times New Roman" w:hAnsi="Times New Roman" w:cs="Times New Roman"/>
              </w:rPr>
            </w:pPr>
            <w:r w:rsidRPr="0073555F">
              <w:rPr>
                <w:rFonts w:ascii="Times New Roman" w:hAnsi="Times New Roman" w:cs="Times New Roman"/>
              </w:rPr>
              <w:t>entro il 15/02/2025. Gli strumenti finanziari forniscono finanziamenti e non rimborsi di costi,</w:t>
            </w:r>
            <w:r>
              <w:rPr>
                <w:rFonts w:ascii="Times New Roman" w:hAnsi="Times New Roman" w:cs="Times New Roman"/>
              </w:rPr>
              <w:t xml:space="preserve"> </w:t>
            </w:r>
            <w:r w:rsidRPr="0073555F">
              <w:rPr>
                <w:rFonts w:ascii="Times New Roman" w:hAnsi="Times New Roman" w:cs="Times New Roman"/>
              </w:rPr>
              <w:t>come nel caso delle sovvenzioni.</w:t>
            </w:r>
          </w:p>
        </w:tc>
      </w:tr>
      <w:tr w:rsidR="006510D9" w:rsidRPr="00662BE0" w14:paraId="1D727A90" w14:textId="77777777" w:rsidTr="006510D9">
        <w:tc>
          <w:tcPr>
            <w:tcW w:w="796" w:type="dxa"/>
          </w:tcPr>
          <w:p w14:paraId="5DBAA841" w14:textId="293C68E7" w:rsidR="006510D9" w:rsidRPr="0073555F" w:rsidRDefault="006510D9" w:rsidP="004E586F">
            <w:pPr>
              <w:jc w:val="both"/>
              <w:rPr>
                <w:rFonts w:ascii="Times New Roman" w:hAnsi="Times New Roman" w:cs="Times New Roman"/>
              </w:rPr>
            </w:pPr>
            <w:r>
              <w:rPr>
                <w:rFonts w:ascii="Times New Roman" w:hAnsi="Times New Roman" w:cs="Times New Roman"/>
              </w:rPr>
              <w:t>276</w:t>
            </w:r>
          </w:p>
        </w:tc>
        <w:tc>
          <w:tcPr>
            <w:tcW w:w="1454" w:type="dxa"/>
          </w:tcPr>
          <w:p w14:paraId="5CD5A286" w14:textId="7619D71C" w:rsidR="006510D9" w:rsidRPr="0073555F" w:rsidRDefault="00662BE0" w:rsidP="004E586F">
            <w:pPr>
              <w:jc w:val="both"/>
              <w:rPr>
                <w:rFonts w:ascii="Times New Roman" w:hAnsi="Times New Roman" w:cs="Times New Roman"/>
              </w:rPr>
            </w:pPr>
            <w:r>
              <w:rPr>
                <w:rFonts w:ascii="Times New Roman" w:hAnsi="Times New Roman" w:cs="Times New Roman"/>
              </w:rPr>
              <w:t>Polonia</w:t>
            </w:r>
          </w:p>
        </w:tc>
        <w:tc>
          <w:tcPr>
            <w:tcW w:w="1738" w:type="dxa"/>
          </w:tcPr>
          <w:p w14:paraId="0AC8D184" w14:textId="672016F4" w:rsidR="006510D9" w:rsidRPr="0073555F" w:rsidRDefault="00662BE0" w:rsidP="004E586F">
            <w:pPr>
              <w:rPr>
                <w:rFonts w:ascii="Times New Roman" w:hAnsi="Times New Roman" w:cs="Times New Roman"/>
              </w:rPr>
            </w:pPr>
            <w:r>
              <w:rPr>
                <w:rFonts w:ascii="Times New Roman" w:hAnsi="Times New Roman" w:cs="Times New Roman"/>
              </w:rPr>
              <w:t>Temi non affrontati negli Orientamenti</w:t>
            </w:r>
          </w:p>
        </w:tc>
        <w:tc>
          <w:tcPr>
            <w:tcW w:w="1992" w:type="dxa"/>
          </w:tcPr>
          <w:p w14:paraId="551A5878" w14:textId="3A37D2EA" w:rsidR="006510D9" w:rsidRPr="0073555F" w:rsidRDefault="00662BE0" w:rsidP="004E586F">
            <w:pPr>
              <w:jc w:val="both"/>
              <w:rPr>
                <w:rFonts w:ascii="Times New Roman" w:hAnsi="Times New Roman" w:cs="Times New Roman"/>
              </w:rPr>
            </w:pPr>
            <w:r>
              <w:rPr>
                <w:rFonts w:ascii="Times New Roman" w:hAnsi="Times New Roman" w:cs="Times New Roman"/>
              </w:rPr>
              <w:t>Strumenti finanziari</w:t>
            </w:r>
          </w:p>
        </w:tc>
        <w:tc>
          <w:tcPr>
            <w:tcW w:w="3796" w:type="dxa"/>
          </w:tcPr>
          <w:p w14:paraId="1B53617A" w14:textId="2CEE9188" w:rsidR="006510D9" w:rsidRPr="006510D9" w:rsidRDefault="006510D9" w:rsidP="004E586F">
            <w:pPr>
              <w:autoSpaceDE w:val="0"/>
              <w:autoSpaceDN w:val="0"/>
              <w:adjustRightInd w:val="0"/>
              <w:spacing w:after="0" w:line="240" w:lineRule="auto"/>
              <w:jc w:val="both"/>
              <w:rPr>
                <w:rFonts w:ascii="Times New Roman" w:hAnsi="Times New Roman" w:cs="Times New Roman"/>
              </w:rPr>
            </w:pPr>
            <w:r w:rsidRPr="006510D9">
              <w:rPr>
                <w:rFonts w:ascii="Times New Roman" w:hAnsi="Times New Roman" w:cs="Times New Roman"/>
              </w:rPr>
              <w:t xml:space="preserve">Prima parte del commento: </w:t>
            </w:r>
            <w:r w:rsidR="00F32551">
              <w:rPr>
                <w:rFonts w:ascii="Times New Roman" w:hAnsi="Times New Roman" w:cs="Times New Roman"/>
              </w:rPr>
              <w:t>a</w:t>
            </w:r>
            <w:r w:rsidRPr="006510D9">
              <w:rPr>
                <w:rFonts w:ascii="Times New Roman" w:hAnsi="Times New Roman" w:cs="Times New Roman"/>
              </w:rPr>
              <w:t xml:space="preserve"> differenza delle linee guida della Commissione sulla chiusura dei programmi operativi adottati per l’assistenza dal Fondo europeo di sviluppo regionale, il Fondo sociale europeo e il Fondo di coesione (2007-2013), che nella sezione 3.6 danno una risposta chiara alla domanda su quali importi, nel caso degli strumenti (di ingegneria) finanziaria, possono essere trattati come spese ammissibili alla chiusura, l'attuale bozza di orientamenti non contiene tali informazioni. La mancanza di tali informazioni, soprattutto in relazione alle spese sostenute a livello di destinatari finali, </w:t>
            </w:r>
            <w:r w:rsidRPr="006510D9">
              <w:rPr>
                <w:rFonts w:ascii="Times New Roman" w:hAnsi="Times New Roman" w:cs="Times New Roman"/>
              </w:rPr>
              <w:lastRenderedPageBreak/>
              <w:t>potrebbe comportare potenziali problemi al momento della chiusura, poiché non ci sarebbe tempo per eventuali rettifiche e quindi l'attuazione di molti investimenti che contribuiscono agli obiettivi della politica di coesione potrebbe essere discutibile. Per questo motivo è nel nostro</w:t>
            </w:r>
          </w:p>
          <w:p w14:paraId="68CF4D66" w14:textId="77777777" w:rsidR="006510D9" w:rsidRPr="006510D9" w:rsidRDefault="006510D9" w:rsidP="004E586F">
            <w:pPr>
              <w:autoSpaceDE w:val="0"/>
              <w:autoSpaceDN w:val="0"/>
              <w:adjustRightInd w:val="0"/>
              <w:spacing w:after="0" w:line="240" w:lineRule="auto"/>
              <w:jc w:val="both"/>
              <w:rPr>
                <w:rFonts w:ascii="Times New Roman" w:hAnsi="Times New Roman" w:cs="Times New Roman"/>
              </w:rPr>
            </w:pPr>
            <w:r w:rsidRPr="006510D9">
              <w:rPr>
                <w:rFonts w:ascii="Times New Roman" w:hAnsi="Times New Roman" w:cs="Times New Roman"/>
              </w:rPr>
              <w:t>interesse comune rispondere alla questione dell'ammissibilità delle spese nel caso di investimenti realizzati dai destinatari finali tramite il sostegno degli strumenti finanziari dell'ESIF.</w:t>
            </w:r>
          </w:p>
          <w:p w14:paraId="73D93837" w14:textId="77777777" w:rsidR="006510D9" w:rsidRPr="006510D9" w:rsidRDefault="006510D9" w:rsidP="004E586F">
            <w:pPr>
              <w:autoSpaceDE w:val="0"/>
              <w:autoSpaceDN w:val="0"/>
              <w:adjustRightInd w:val="0"/>
              <w:spacing w:after="0" w:line="240" w:lineRule="auto"/>
              <w:jc w:val="both"/>
              <w:rPr>
                <w:rFonts w:ascii="Times New Roman" w:hAnsi="Times New Roman" w:cs="Times New Roman"/>
              </w:rPr>
            </w:pPr>
            <w:r w:rsidRPr="006510D9">
              <w:rPr>
                <w:rFonts w:ascii="Times New Roman" w:hAnsi="Times New Roman" w:cs="Times New Roman"/>
              </w:rPr>
              <w:t>Secondo la Polonia, nel caso del sostegno concesso ai destinatari finali nell'ambito di operazioni con strumenti finanziari, la base per il riconoscimento della spesa come ammissibile alla chiusura dovrebbe essere l'effettivo pagamento ai destinatari finali o a loro vantaggio. Affinché la spesa sia considerata ammissibile alla chiusura, le autorità nazionali devono anche</w:t>
            </w:r>
          </w:p>
          <w:p w14:paraId="6F4E80FA" w14:textId="77777777" w:rsidR="006510D9" w:rsidRPr="006510D9" w:rsidRDefault="006510D9" w:rsidP="004E586F">
            <w:pPr>
              <w:autoSpaceDE w:val="0"/>
              <w:autoSpaceDN w:val="0"/>
              <w:adjustRightInd w:val="0"/>
              <w:spacing w:after="0" w:line="240" w:lineRule="auto"/>
              <w:jc w:val="both"/>
              <w:rPr>
                <w:rFonts w:ascii="Times New Roman" w:hAnsi="Times New Roman" w:cs="Times New Roman"/>
              </w:rPr>
            </w:pPr>
            <w:r w:rsidRPr="006510D9">
              <w:rPr>
                <w:rFonts w:ascii="Times New Roman" w:hAnsi="Times New Roman" w:cs="Times New Roman"/>
              </w:rPr>
              <w:t>avere la certezza che il contributo versato al destinatario finale</w:t>
            </w:r>
          </w:p>
          <w:p w14:paraId="31B6DF59" w14:textId="77777777" w:rsidR="006510D9" w:rsidRPr="006510D9" w:rsidRDefault="006510D9" w:rsidP="004E586F">
            <w:pPr>
              <w:autoSpaceDE w:val="0"/>
              <w:autoSpaceDN w:val="0"/>
              <w:adjustRightInd w:val="0"/>
              <w:spacing w:after="0" w:line="240" w:lineRule="auto"/>
              <w:jc w:val="both"/>
              <w:rPr>
                <w:rFonts w:ascii="Times New Roman" w:hAnsi="Times New Roman" w:cs="Times New Roman"/>
              </w:rPr>
            </w:pPr>
            <w:r w:rsidRPr="006510D9">
              <w:rPr>
                <w:rFonts w:ascii="Times New Roman" w:hAnsi="Times New Roman" w:cs="Times New Roman"/>
              </w:rPr>
              <w:t>sia utilizzato per lo scopo prefissato.</w:t>
            </w:r>
          </w:p>
          <w:p w14:paraId="4FA31BCB" w14:textId="77777777" w:rsidR="006510D9" w:rsidRPr="006510D9" w:rsidRDefault="006510D9" w:rsidP="004E586F">
            <w:pPr>
              <w:autoSpaceDE w:val="0"/>
              <w:autoSpaceDN w:val="0"/>
              <w:adjustRightInd w:val="0"/>
              <w:spacing w:after="0" w:line="240" w:lineRule="auto"/>
              <w:jc w:val="both"/>
              <w:rPr>
                <w:rFonts w:ascii="Times New Roman" w:hAnsi="Times New Roman" w:cs="Times New Roman"/>
              </w:rPr>
            </w:pPr>
            <w:r w:rsidRPr="006510D9">
              <w:rPr>
                <w:rFonts w:ascii="Times New Roman" w:hAnsi="Times New Roman" w:cs="Times New Roman"/>
              </w:rPr>
              <w:t>Tuttavia, non è necessario che il beneficiario finale abbia completato l'attuazione di un'attività di investimento finanziata dallo strumento di ingegneria finanziaria entro la presentazione dei documenti di chiusura.</w:t>
            </w:r>
          </w:p>
          <w:p w14:paraId="6EC0D12D" w14:textId="3F6E1902" w:rsidR="006510D9" w:rsidRPr="006510D9" w:rsidRDefault="006510D9" w:rsidP="004E586F">
            <w:pPr>
              <w:autoSpaceDE w:val="0"/>
              <w:autoSpaceDN w:val="0"/>
              <w:adjustRightInd w:val="0"/>
              <w:jc w:val="both"/>
              <w:rPr>
                <w:rFonts w:ascii="Times New Roman" w:hAnsi="Times New Roman" w:cs="Times New Roman"/>
              </w:rPr>
            </w:pPr>
            <w:r w:rsidRPr="006510D9">
              <w:rPr>
                <w:rFonts w:ascii="Times New Roman" w:hAnsi="Times New Roman" w:cs="Times New Roman"/>
              </w:rPr>
              <w:t xml:space="preserve">Pertanto, ai fini della dichiarazione delle spese ammissibili alla chiusura, le autorità nazionali devono effettuare verifiche di gestione o audit in relazione ai documenti giustificativi, che sono pertinenti per il prodotto finanziario e il </w:t>
            </w:r>
            <w:r w:rsidRPr="006510D9">
              <w:rPr>
                <w:rFonts w:ascii="Times New Roman" w:hAnsi="Times New Roman" w:cs="Times New Roman"/>
              </w:rPr>
              <w:lastRenderedPageBreak/>
              <w:t>tipo di investimento finanziato e sono disponibili prima della data di chiusura.</w:t>
            </w:r>
          </w:p>
        </w:tc>
        <w:tc>
          <w:tcPr>
            <w:tcW w:w="4394" w:type="dxa"/>
          </w:tcPr>
          <w:p w14:paraId="52B45F12" w14:textId="66D95FA5" w:rsidR="006510D9" w:rsidRPr="00D3085D" w:rsidRDefault="006510D9" w:rsidP="004E586F">
            <w:pPr>
              <w:autoSpaceDE w:val="0"/>
              <w:autoSpaceDN w:val="0"/>
              <w:adjustRightInd w:val="0"/>
              <w:spacing w:after="0" w:line="240" w:lineRule="auto"/>
              <w:jc w:val="both"/>
              <w:rPr>
                <w:rFonts w:ascii="Times New Roman" w:hAnsi="Times New Roman" w:cs="Times New Roman"/>
              </w:rPr>
            </w:pPr>
            <w:r w:rsidRPr="00D3085D">
              <w:rPr>
                <w:rFonts w:ascii="Times New Roman" w:hAnsi="Times New Roman" w:cs="Times New Roman"/>
              </w:rPr>
              <w:lastRenderedPageBreak/>
              <w:t xml:space="preserve">Nella bozza </w:t>
            </w:r>
            <w:r w:rsidRPr="00D3085D">
              <w:rPr>
                <w:rFonts w:ascii="Times New Roman" w:hAnsi="Times New Roman" w:cs="Times New Roman"/>
              </w:rPr>
              <w:t>di Orientamenti sulla</w:t>
            </w:r>
            <w:r w:rsidRPr="00D3085D">
              <w:rPr>
                <w:rFonts w:ascii="Times New Roman" w:hAnsi="Times New Roman" w:cs="Times New Roman"/>
              </w:rPr>
              <w:t xml:space="preserve"> chiusura è stato aggiunto il seguente chiarimento: "Le autorità </w:t>
            </w:r>
            <w:r w:rsidR="00662BE0" w:rsidRPr="00D3085D">
              <w:rPr>
                <w:rFonts w:ascii="Times New Roman" w:hAnsi="Times New Roman" w:cs="Times New Roman"/>
              </w:rPr>
              <w:t>di audit</w:t>
            </w:r>
            <w:r w:rsidRPr="00D3085D">
              <w:rPr>
                <w:rFonts w:ascii="Times New Roman" w:hAnsi="Times New Roman" w:cs="Times New Roman"/>
              </w:rPr>
              <w:t xml:space="preserve"> </w:t>
            </w:r>
            <w:r w:rsidR="00662BE0" w:rsidRPr="00D3085D">
              <w:rPr>
                <w:rFonts w:ascii="Times New Roman" w:hAnsi="Times New Roman" w:cs="Times New Roman"/>
              </w:rPr>
              <w:t>nazionali</w:t>
            </w:r>
            <w:r w:rsidRPr="00D3085D">
              <w:rPr>
                <w:rFonts w:ascii="Times New Roman" w:hAnsi="Times New Roman" w:cs="Times New Roman"/>
              </w:rPr>
              <w:t xml:space="preserve"> dovrebbero ottenere la garanzia</w:t>
            </w:r>
          </w:p>
          <w:p w14:paraId="3A86FFAF" w14:textId="6E55CE11" w:rsidR="006510D9" w:rsidRPr="00D3085D" w:rsidRDefault="00662BE0" w:rsidP="004E586F">
            <w:pPr>
              <w:autoSpaceDE w:val="0"/>
              <w:autoSpaceDN w:val="0"/>
              <w:adjustRightInd w:val="0"/>
              <w:spacing w:after="0" w:line="240" w:lineRule="auto"/>
              <w:jc w:val="both"/>
              <w:rPr>
                <w:rFonts w:ascii="Times New Roman" w:hAnsi="Times New Roman" w:cs="Times New Roman"/>
              </w:rPr>
            </w:pPr>
            <w:r w:rsidRPr="00D3085D">
              <w:rPr>
                <w:rFonts w:ascii="Times New Roman" w:hAnsi="Times New Roman" w:cs="Times New Roman"/>
              </w:rPr>
              <w:t>della</w:t>
            </w:r>
            <w:r w:rsidR="006510D9" w:rsidRPr="00D3085D">
              <w:rPr>
                <w:rFonts w:ascii="Times New Roman" w:hAnsi="Times New Roman" w:cs="Times New Roman"/>
              </w:rPr>
              <w:t xml:space="preserve"> legittimità e regolarità di queste spese prima d</w:t>
            </w:r>
            <w:r w:rsidRPr="00D3085D">
              <w:rPr>
                <w:rFonts w:ascii="Times New Roman" w:hAnsi="Times New Roman" w:cs="Times New Roman"/>
              </w:rPr>
              <w:t xml:space="preserve">ella </w:t>
            </w:r>
            <w:r w:rsidR="006510D9" w:rsidRPr="00D3085D">
              <w:rPr>
                <w:rFonts w:ascii="Times New Roman" w:hAnsi="Times New Roman" w:cs="Times New Roman"/>
              </w:rPr>
              <w:t xml:space="preserve">presentazione dei conti per </w:t>
            </w:r>
            <w:r w:rsidRPr="00D3085D">
              <w:rPr>
                <w:rFonts w:ascii="Times New Roman" w:hAnsi="Times New Roman" w:cs="Times New Roman"/>
              </w:rPr>
              <w:t>il periodo</w:t>
            </w:r>
            <w:r w:rsidR="006510D9" w:rsidRPr="00D3085D">
              <w:rPr>
                <w:rFonts w:ascii="Times New Roman" w:hAnsi="Times New Roman" w:cs="Times New Roman"/>
              </w:rPr>
              <w:t xml:space="preserve"> contabile finale.</w:t>
            </w:r>
          </w:p>
          <w:p w14:paraId="7625A687" w14:textId="4E10E74B" w:rsidR="006510D9" w:rsidRPr="00662BE0" w:rsidRDefault="006510D9" w:rsidP="004E586F">
            <w:pPr>
              <w:autoSpaceDE w:val="0"/>
              <w:autoSpaceDN w:val="0"/>
              <w:adjustRightInd w:val="0"/>
              <w:jc w:val="both"/>
              <w:rPr>
                <w:rFonts w:ascii="Times New Roman" w:hAnsi="Times New Roman" w:cs="Times New Roman"/>
                <w:kern w:val="0"/>
                <w:sz w:val="20"/>
                <w:szCs w:val="20"/>
              </w:rPr>
            </w:pPr>
            <w:r w:rsidRPr="00D3085D">
              <w:rPr>
                <w:rFonts w:ascii="Times New Roman" w:hAnsi="Times New Roman" w:cs="Times New Roman"/>
              </w:rPr>
              <w:t>Tuttavia, non è necessario che il destinatario finale abbia</w:t>
            </w:r>
            <w:r w:rsidR="00662BE0" w:rsidRPr="00D3085D">
              <w:rPr>
                <w:rFonts w:ascii="Times New Roman" w:hAnsi="Times New Roman" w:cs="Times New Roman"/>
              </w:rPr>
              <w:t xml:space="preserve"> completato </w:t>
            </w:r>
            <w:r w:rsidRPr="00D3085D">
              <w:rPr>
                <w:rFonts w:ascii="Times New Roman" w:hAnsi="Times New Roman" w:cs="Times New Roman"/>
              </w:rPr>
              <w:t xml:space="preserve">l'attuazione di un investimento </w:t>
            </w:r>
            <w:r w:rsidR="00662BE0" w:rsidRPr="00D3085D">
              <w:rPr>
                <w:rFonts w:ascii="Times New Roman" w:hAnsi="Times New Roman" w:cs="Times New Roman"/>
              </w:rPr>
              <w:t>finanziato mediante l</w:t>
            </w:r>
            <w:r w:rsidRPr="00D3085D">
              <w:rPr>
                <w:rFonts w:ascii="Times New Roman" w:hAnsi="Times New Roman" w:cs="Times New Roman"/>
              </w:rPr>
              <w:t>o strumento finanziario</w:t>
            </w:r>
            <w:r w:rsidR="00662BE0" w:rsidRPr="00D3085D">
              <w:rPr>
                <w:rFonts w:ascii="Times New Roman" w:hAnsi="Times New Roman" w:cs="Times New Roman"/>
              </w:rPr>
              <w:t xml:space="preserve"> entro la presentazione dei </w:t>
            </w:r>
            <w:r w:rsidRPr="00D3085D">
              <w:rPr>
                <w:rFonts w:ascii="Times New Roman" w:hAnsi="Times New Roman" w:cs="Times New Roman"/>
              </w:rPr>
              <w:t>documenti di chiusura".</w:t>
            </w:r>
          </w:p>
        </w:tc>
      </w:tr>
      <w:tr w:rsidR="006510D9" w:rsidRPr="00662BE0" w14:paraId="56443BCD" w14:textId="77777777" w:rsidTr="006510D9">
        <w:tc>
          <w:tcPr>
            <w:tcW w:w="796" w:type="dxa"/>
          </w:tcPr>
          <w:p w14:paraId="4BD4A0FB" w14:textId="45AEE2FD" w:rsidR="006510D9" w:rsidRPr="00662BE0" w:rsidRDefault="008C079F" w:rsidP="004E586F">
            <w:pPr>
              <w:jc w:val="both"/>
              <w:rPr>
                <w:rFonts w:ascii="Times New Roman" w:hAnsi="Times New Roman" w:cs="Times New Roman"/>
              </w:rPr>
            </w:pPr>
            <w:r>
              <w:rPr>
                <w:rFonts w:ascii="Times New Roman" w:hAnsi="Times New Roman" w:cs="Times New Roman"/>
              </w:rPr>
              <w:lastRenderedPageBreak/>
              <w:t>277</w:t>
            </w:r>
          </w:p>
        </w:tc>
        <w:tc>
          <w:tcPr>
            <w:tcW w:w="1454" w:type="dxa"/>
          </w:tcPr>
          <w:p w14:paraId="37309FA4" w14:textId="676E49D1" w:rsidR="006510D9" w:rsidRPr="00662BE0" w:rsidRDefault="008C079F" w:rsidP="004E586F">
            <w:pPr>
              <w:jc w:val="both"/>
              <w:rPr>
                <w:rFonts w:ascii="Times New Roman" w:hAnsi="Times New Roman" w:cs="Times New Roman"/>
              </w:rPr>
            </w:pPr>
            <w:r>
              <w:rPr>
                <w:rFonts w:ascii="Times New Roman" w:hAnsi="Times New Roman" w:cs="Times New Roman"/>
              </w:rPr>
              <w:t>Polonia</w:t>
            </w:r>
          </w:p>
        </w:tc>
        <w:tc>
          <w:tcPr>
            <w:tcW w:w="1738" w:type="dxa"/>
          </w:tcPr>
          <w:p w14:paraId="5F6923FA" w14:textId="2389A48E" w:rsidR="006510D9" w:rsidRPr="00662BE0" w:rsidRDefault="008C079F" w:rsidP="00D3085D">
            <w:pPr>
              <w:rPr>
                <w:rFonts w:ascii="Times New Roman" w:hAnsi="Times New Roman" w:cs="Times New Roman"/>
              </w:rPr>
            </w:pPr>
            <w:r>
              <w:rPr>
                <w:rFonts w:ascii="Times New Roman" w:hAnsi="Times New Roman" w:cs="Times New Roman"/>
              </w:rPr>
              <w:t>Temi non affrontati negli Orientamenti</w:t>
            </w:r>
          </w:p>
        </w:tc>
        <w:tc>
          <w:tcPr>
            <w:tcW w:w="1992" w:type="dxa"/>
          </w:tcPr>
          <w:p w14:paraId="5F962002" w14:textId="6A187162" w:rsidR="006510D9" w:rsidRPr="00662BE0" w:rsidRDefault="008C079F" w:rsidP="004E586F">
            <w:pPr>
              <w:jc w:val="both"/>
              <w:rPr>
                <w:rFonts w:ascii="Times New Roman" w:hAnsi="Times New Roman" w:cs="Times New Roman"/>
              </w:rPr>
            </w:pPr>
            <w:r>
              <w:rPr>
                <w:rFonts w:ascii="Times New Roman" w:hAnsi="Times New Roman" w:cs="Times New Roman"/>
              </w:rPr>
              <w:t>Strumenti finanziari</w:t>
            </w:r>
          </w:p>
        </w:tc>
        <w:tc>
          <w:tcPr>
            <w:tcW w:w="3796" w:type="dxa"/>
          </w:tcPr>
          <w:p w14:paraId="213CCF89" w14:textId="77777777" w:rsidR="008C079F" w:rsidRPr="00F2711D" w:rsidRDefault="008C079F" w:rsidP="004E586F">
            <w:pPr>
              <w:spacing w:after="0" w:line="240" w:lineRule="auto"/>
              <w:jc w:val="both"/>
              <w:rPr>
                <w:rFonts w:ascii="Times New Roman" w:hAnsi="Times New Roman" w:cs="Times New Roman"/>
              </w:rPr>
            </w:pPr>
            <w:r w:rsidRPr="00F2711D">
              <w:rPr>
                <w:rFonts w:ascii="Times New Roman" w:hAnsi="Times New Roman" w:cs="Times New Roman"/>
              </w:rPr>
              <w:t xml:space="preserve">Seconda parte del commento: </w:t>
            </w:r>
            <w:r>
              <w:rPr>
                <w:rFonts w:ascii="Times New Roman" w:hAnsi="Times New Roman" w:cs="Times New Roman"/>
              </w:rPr>
              <w:t>a</w:t>
            </w:r>
            <w:r w:rsidRPr="00F2711D">
              <w:rPr>
                <w:rFonts w:ascii="Times New Roman" w:hAnsi="Times New Roman" w:cs="Times New Roman"/>
              </w:rPr>
              <w:t>dozione</w:t>
            </w:r>
          </w:p>
          <w:p w14:paraId="34F27AD6" w14:textId="77777777" w:rsidR="008C079F" w:rsidRPr="00F2711D" w:rsidRDefault="008C079F" w:rsidP="004E586F">
            <w:pPr>
              <w:spacing w:after="0" w:line="240" w:lineRule="auto"/>
              <w:jc w:val="both"/>
              <w:rPr>
                <w:rFonts w:ascii="Times New Roman" w:hAnsi="Times New Roman" w:cs="Times New Roman"/>
              </w:rPr>
            </w:pPr>
            <w:r w:rsidRPr="00F2711D">
              <w:rPr>
                <w:rFonts w:ascii="Times New Roman" w:hAnsi="Times New Roman" w:cs="Times New Roman"/>
              </w:rPr>
              <w:t>di una soluzione diversa (dichiarare solo</w:t>
            </w:r>
          </w:p>
          <w:p w14:paraId="555F22D5" w14:textId="77777777" w:rsidR="008C079F" w:rsidRPr="00F2711D" w:rsidRDefault="008C079F" w:rsidP="004E586F">
            <w:pPr>
              <w:spacing w:after="0" w:line="240" w:lineRule="auto"/>
              <w:jc w:val="both"/>
              <w:rPr>
                <w:rFonts w:ascii="Times New Roman" w:hAnsi="Times New Roman" w:cs="Times New Roman"/>
              </w:rPr>
            </w:pPr>
            <w:r>
              <w:rPr>
                <w:rFonts w:ascii="Times New Roman" w:hAnsi="Times New Roman" w:cs="Times New Roman"/>
              </w:rPr>
              <w:t xml:space="preserve">le </w:t>
            </w:r>
            <w:r w:rsidRPr="00F2711D">
              <w:rPr>
                <w:rFonts w:ascii="Times New Roman" w:hAnsi="Times New Roman" w:cs="Times New Roman"/>
              </w:rPr>
              <w:t>spese per le quali sono stati</w:t>
            </w:r>
            <w:r>
              <w:rPr>
                <w:rFonts w:ascii="Times New Roman" w:hAnsi="Times New Roman" w:cs="Times New Roman"/>
              </w:rPr>
              <w:t xml:space="preserve"> verificati i </w:t>
            </w:r>
            <w:r w:rsidRPr="00F2711D">
              <w:rPr>
                <w:rFonts w:ascii="Times New Roman" w:hAnsi="Times New Roman" w:cs="Times New Roman"/>
              </w:rPr>
              <w:t>documenti giustificativi completi e pertinenti fino alla data di chiusura) porterebbe a una situazione assurda in cui</w:t>
            </w:r>
            <w:r>
              <w:rPr>
                <w:rFonts w:ascii="Times New Roman" w:hAnsi="Times New Roman" w:cs="Times New Roman"/>
              </w:rPr>
              <w:t>,</w:t>
            </w:r>
            <w:r w:rsidRPr="00F2711D">
              <w:rPr>
                <w:rFonts w:ascii="Times New Roman" w:hAnsi="Times New Roman" w:cs="Times New Roman"/>
              </w:rPr>
              <w:t xml:space="preserve"> per</w:t>
            </w:r>
            <w:r>
              <w:rPr>
                <w:rFonts w:ascii="Times New Roman" w:hAnsi="Times New Roman" w:cs="Times New Roman"/>
              </w:rPr>
              <w:t xml:space="preserve"> </w:t>
            </w:r>
            <w:r w:rsidRPr="00F2711D">
              <w:rPr>
                <w:rFonts w:ascii="Times New Roman" w:hAnsi="Times New Roman" w:cs="Times New Roman"/>
              </w:rPr>
              <w:t xml:space="preserve">essere sicuri che tutti gli importi </w:t>
            </w:r>
            <w:r>
              <w:rPr>
                <w:rFonts w:ascii="Times New Roman" w:hAnsi="Times New Roman" w:cs="Times New Roman"/>
              </w:rPr>
              <w:t xml:space="preserve">dei </w:t>
            </w:r>
            <w:r w:rsidRPr="00F2711D">
              <w:rPr>
                <w:rFonts w:ascii="Times New Roman" w:hAnsi="Times New Roman" w:cs="Times New Roman"/>
              </w:rPr>
              <w:t xml:space="preserve">fondi strutturali e d'investimento europei </w:t>
            </w:r>
            <w:r>
              <w:rPr>
                <w:rFonts w:ascii="Times New Roman" w:hAnsi="Times New Roman" w:cs="Times New Roman"/>
              </w:rPr>
              <w:t xml:space="preserve">(ESIF) </w:t>
            </w:r>
            <w:r w:rsidRPr="00F2711D">
              <w:rPr>
                <w:rFonts w:ascii="Times New Roman" w:hAnsi="Times New Roman" w:cs="Times New Roman"/>
              </w:rPr>
              <w:t>distribuiti ai destinatari finali siano corretti e regolari, gli intermediari finanziari dovrebbero smettere di</w:t>
            </w:r>
          </w:p>
          <w:p w14:paraId="3DC81CF8" w14:textId="77777777" w:rsidR="008C079F" w:rsidRPr="00F2711D" w:rsidRDefault="008C079F" w:rsidP="004E586F">
            <w:pPr>
              <w:spacing w:after="0" w:line="240" w:lineRule="auto"/>
              <w:jc w:val="both"/>
              <w:rPr>
                <w:rFonts w:ascii="Times New Roman" w:hAnsi="Times New Roman" w:cs="Times New Roman"/>
              </w:rPr>
            </w:pPr>
            <w:r w:rsidRPr="00F2711D">
              <w:rPr>
                <w:rFonts w:ascii="Times New Roman" w:hAnsi="Times New Roman" w:cs="Times New Roman"/>
              </w:rPr>
              <w:t>erogare qualsiasi nuovo prodotto molto prima</w:t>
            </w:r>
          </w:p>
          <w:p w14:paraId="410C3CE5" w14:textId="77777777" w:rsidR="008C079F" w:rsidRPr="00F2711D" w:rsidRDefault="008C079F" w:rsidP="004E586F">
            <w:pPr>
              <w:spacing w:after="0" w:line="240" w:lineRule="auto"/>
              <w:jc w:val="both"/>
              <w:rPr>
                <w:rFonts w:ascii="Times New Roman" w:hAnsi="Times New Roman" w:cs="Times New Roman"/>
              </w:rPr>
            </w:pPr>
            <w:r>
              <w:rPr>
                <w:rFonts w:ascii="Times New Roman" w:hAnsi="Times New Roman" w:cs="Times New Roman"/>
              </w:rPr>
              <w:t xml:space="preserve">della </w:t>
            </w:r>
            <w:r w:rsidRPr="00F2711D">
              <w:rPr>
                <w:rFonts w:ascii="Times New Roman" w:hAnsi="Times New Roman" w:cs="Times New Roman"/>
              </w:rPr>
              <w:t>fine del periodo di ammissibilità. La durata</w:t>
            </w:r>
            <w:r>
              <w:rPr>
                <w:rFonts w:ascii="Times New Roman" w:hAnsi="Times New Roman" w:cs="Times New Roman"/>
              </w:rPr>
              <w:t xml:space="preserve"> degli</w:t>
            </w:r>
            <w:r w:rsidRPr="00F2711D">
              <w:rPr>
                <w:rFonts w:ascii="Times New Roman" w:hAnsi="Times New Roman" w:cs="Times New Roman"/>
              </w:rPr>
              <w:t xml:space="preserve"> investimenti dei destinatari finali </w:t>
            </w:r>
            <w:r>
              <w:rPr>
                <w:rFonts w:ascii="Times New Roman" w:hAnsi="Times New Roman" w:cs="Times New Roman"/>
              </w:rPr>
              <w:t>è variabile</w:t>
            </w:r>
            <w:r w:rsidRPr="00F2711D">
              <w:rPr>
                <w:rFonts w:ascii="Times New Roman" w:hAnsi="Times New Roman" w:cs="Times New Roman"/>
              </w:rPr>
              <w:t>, nel caso di</w:t>
            </w:r>
            <w:r>
              <w:rPr>
                <w:rFonts w:ascii="Times New Roman" w:hAnsi="Times New Roman" w:cs="Times New Roman"/>
              </w:rPr>
              <w:t xml:space="preserve"> </w:t>
            </w:r>
            <w:r w:rsidRPr="00F2711D">
              <w:rPr>
                <w:rFonts w:ascii="Times New Roman" w:hAnsi="Times New Roman" w:cs="Times New Roman"/>
              </w:rPr>
              <w:t>quelli semplici, tutti i documenti</w:t>
            </w:r>
            <w:r>
              <w:rPr>
                <w:rFonts w:ascii="Times New Roman" w:hAnsi="Times New Roman" w:cs="Times New Roman"/>
              </w:rPr>
              <w:t xml:space="preserve"> giustificativi </w:t>
            </w:r>
            <w:r w:rsidRPr="00F2711D">
              <w:rPr>
                <w:rFonts w:ascii="Times New Roman" w:hAnsi="Times New Roman" w:cs="Times New Roman"/>
              </w:rPr>
              <w:t>possono essere disponibili rapidamente (ad es.</w:t>
            </w:r>
            <w:r>
              <w:rPr>
                <w:rFonts w:ascii="Times New Roman" w:hAnsi="Times New Roman" w:cs="Times New Roman"/>
              </w:rPr>
              <w:t xml:space="preserve"> </w:t>
            </w:r>
            <w:r w:rsidRPr="00F2711D">
              <w:rPr>
                <w:rFonts w:ascii="Times New Roman" w:hAnsi="Times New Roman" w:cs="Times New Roman"/>
              </w:rPr>
              <w:t>l'acquisto di un macchinario o il sostegno al</w:t>
            </w:r>
            <w:r>
              <w:rPr>
                <w:rFonts w:ascii="Times New Roman" w:hAnsi="Times New Roman" w:cs="Times New Roman"/>
              </w:rPr>
              <w:t xml:space="preserve"> </w:t>
            </w:r>
            <w:r w:rsidRPr="00F2711D">
              <w:rPr>
                <w:rFonts w:ascii="Times New Roman" w:hAnsi="Times New Roman" w:cs="Times New Roman"/>
              </w:rPr>
              <w:t>capitale circolante, per il quale un business plan è</w:t>
            </w:r>
            <w:r>
              <w:rPr>
                <w:rFonts w:ascii="Times New Roman" w:hAnsi="Times New Roman" w:cs="Times New Roman"/>
              </w:rPr>
              <w:t xml:space="preserve"> un documento giustificativo</w:t>
            </w:r>
            <w:r w:rsidRPr="00F2711D">
              <w:rPr>
                <w:rFonts w:ascii="Times New Roman" w:hAnsi="Times New Roman" w:cs="Times New Roman"/>
              </w:rPr>
              <w:t>), ma per</w:t>
            </w:r>
          </w:p>
          <w:p w14:paraId="5BB0319C" w14:textId="5C97CE6B" w:rsidR="008C079F" w:rsidRPr="00F2711D" w:rsidRDefault="008C079F" w:rsidP="004E586F">
            <w:pPr>
              <w:spacing w:after="0" w:line="240" w:lineRule="auto"/>
              <w:jc w:val="both"/>
              <w:rPr>
                <w:rFonts w:ascii="Times New Roman" w:hAnsi="Times New Roman" w:cs="Times New Roman"/>
              </w:rPr>
            </w:pPr>
            <w:r>
              <w:rPr>
                <w:rFonts w:ascii="Times New Roman" w:hAnsi="Times New Roman" w:cs="Times New Roman"/>
              </w:rPr>
              <w:t>quelli più</w:t>
            </w:r>
            <w:r w:rsidRPr="00F2711D">
              <w:rPr>
                <w:rFonts w:ascii="Times New Roman" w:hAnsi="Times New Roman" w:cs="Times New Roman"/>
              </w:rPr>
              <w:t xml:space="preserve"> complessi i tempi sono più lunghi. Gli intermediari finanziari</w:t>
            </w:r>
            <w:r>
              <w:rPr>
                <w:rFonts w:ascii="Times New Roman" w:hAnsi="Times New Roman" w:cs="Times New Roman"/>
              </w:rPr>
              <w:t xml:space="preserve"> </w:t>
            </w:r>
            <w:r w:rsidRPr="00F2711D">
              <w:rPr>
                <w:rFonts w:ascii="Times New Roman" w:hAnsi="Times New Roman" w:cs="Times New Roman"/>
              </w:rPr>
              <w:t>che erogano prestiti ESIF o anche banche</w:t>
            </w:r>
            <w:r>
              <w:rPr>
                <w:rFonts w:ascii="Times New Roman" w:hAnsi="Times New Roman" w:cs="Times New Roman"/>
              </w:rPr>
              <w:t xml:space="preserve"> che erogano </w:t>
            </w:r>
            <w:r w:rsidRPr="00F2711D">
              <w:rPr>
                <w:rFonts w:ascii="Times New Roman" w:hAnsi="Times New Roman" w:cs="Times New Roman"/>
              </w:rPr>
              <w:t xml:space="preserve">prestiti commerciali coperti da garanzie ESIF dovranno verificare i </w:t>
            </w:r>
            <w:r>
              <w:rPr>
                <w:rFonts w:ascii="Times New Roman" w:hAnsi="Times New Roman" w:cs="Times New Roman"/>
              </w:rPr>
              <w:t>business plan</w:t>
            </w:r>
            <w:r w:rsidRPr="00F2711D">
              <w:rPr>
                <w:rFonts w:ascii="Times New Roman" w:hAnsi="Times New Roman" w:cs="Times New Roman"/>
              </w:rPr>
              <w:t>, valutare se è probabile che</w:t>
            </w:r>
            <w:r>
              <w:rPr>
                <w:rFonts w:ascii="Times New Roman" w:hAnsi="Times New Roman" w:cs="Times New Roman"/>
              </w:rPr>
              <w:t xml:space="preserve"> l’investimento da sostenere </w:t>
            </w:r>
            <w:r w:rsidRPr="00F2711D">
              <w:rPr>
                <w:rFonts w:ascii="Times New Roman" w:hAnsi="Times New Roman" w:cs="Times New Roman"/>
              </w:rPr>
              <w:t>venga</w:t>
            </w:r>
            <w:r>
              <w:rPr>
                <w:rFonts w:ascii="Times New Roman" w:hAnsi="Times New Roman" w:cs="Times New Roman"/>
              </w:rPr>
              <w:t xml:space="preserve"> </w:t>
            </w:r>
            <w:r w:rsidRPr="00F2711D">
              <w:rPr>
                <w:rFonts w:ascii="Times New Roman" w:hAnsi="Times New Roman" w:cs="Times New Roman"/>
              </w:rPr>
              <w:t>completato abbastanza presto da poter essere</w:t>
            </w:r>
            <w:r>
              <w:rPr>
                <w:rFonts w:ascii="Times New Roman" w:hAnsi="Times New Roman" w:cs="Times New Roman"/>
              </w:rPr>
              <w:t xml:space="preserve"> sottoposto a audit accurato</w:t>
            </w:r>
            <w:r w:rsidRPr="00F2711D">
              <w:rPr>
                <w:rFonts w:ascii="Times New Roman" w:hAnsi="Times New Roman" w:cs="Times New Roman"/>
              </w:rPr>
              <w:t xml:space="preserve"> e solo dopo decidere </w:t>
            </w:r>
            <w:r>
              <w:rPr>
                <w:rFonts w:ascii="Times New Roman" w:hAnsi="Times New Roman" w:cs="Times New Roman"/>
              </w:rPr>
              <w:t>se concedere</w:t>
            </w:r>
            <w:r w:rsidRPr="00F2711D">
              <w:rPr>
                <w:rFonts w:ascii="Times New Roman" w:hAnsi="Times New Roman" w:cs="Times New Roman"/>
              </w:rPr>
              <w:t xml:space="preserve"> il sostegno. Tale soluzione</w:t>
            </w:r>
            <w:r>
              <w:rPr>
                <w:rFonts w:ascii="Times New Roman" w:hAnsi="Times New Roman" w:cs="Times New Roman"/>
              </w:rPr>
              <w:t xml:space="preserve"> </w:t>
            </w:r>
            <w:r w:rsidRPr="00F2711D">
              <w:rPr>
                <w:rFonts w:ascii="Times New Roman" w:hAnsi="Times New Roman" w:cs="Times New Roman"/>
              </w:rPr>
              <w:t>sarebbe contraria alle disposizioni de</w:t>
            </w:r>
            <w:r>
              <w:rPr>
                <w:rFonts w:ascii="Times New Roman" w:hAnsi="Times New Roman" w:cs="Times New Roman"/>
              </w:rPr>
              <w:t>ll’RDC</w:t>
            </w:r>
            <w:r w:rsidRPr="00F2711D">
              <w:rPr>
                <w:rFonts w:ascii="Times New Roman" w:hAnsi="Times New Roman" w:cs="Times New Roman"/>
              </w:rPr>
              <w:t xml:space="preserve">. L'articolo 37, </w:t>
            </w:r>
            <w:r w:rsidRPr="00F2711D">
              <w:rPr>
                <w:rFonts w:ascii="Times New Roman" w:hAnsi="Times New Roman" w:cs="Times New Roman"/>
              </w:rPr>
              <w:lastRenderedPageBreak/>
              <w:t>paragrafo 1, stabilisce chiaramente che</w:t>
            </w:r>
            <w:r>
              <w:rPr>
                <w:rFonts w:ascii="Times New Roman" w:hAnsi="Times New Roman" w:cs="Times New Roman"/>
              </w:rPr>
              <w:t xml:space="preserve"> </w:t>
            </w:r>
            <w:r w:rsidRPr="00F2711D">
              <w:rPr>
                <w:rFonts w:ascii="Times New Roman" w:hAnsi="Times New Roman" w:cs="Times New Roman"/>
              </w:rPr>
              <w:t xml:space="preserve">gli investimenti da sostenere </w:t>
            </w:r>
            <w:r w:rsidRPr="00470C52">
              <w:rPr>
                <w:rFonts w:ascii="Times New Roman" w:hAnsi="Times New Roman" w:cs="Times New Roman"/>
              </w:rPr>
              <w:t>sono attuati per sostenere investimenti che si prevede siano finanziariamente sostenibili e non diano luogo a un finanziamento sufficiente da fonti di mercato</w:t>
            </w:r>
            <w:r w:rsidRPr="00F2711D">
              <w:rPr>
                <w:rFonts w:ascii="Times New Roman" w:hAnsi="Times New Roman" w:cs="Times New Roman"/>
              </w:rPr>
              <w:t xml:space="preserve">. L'articolo 37, paragrafo 5, </w:t>
            </w:r>
            <w:r>
              <w:rPr>
                <w:rFonts w:ascii="Times New Roman" w:hAnsi="Times New Roman" w:cs="Times New Roman"/>
              </w:rPr>
              <w:t>stabilisce che g</w:t>
            </w:r>
            <w:r w:rsidRPr="007C7AD3">
              <w:rPr>
                <w:rFonts w:ascii="Times New Roman" w:hAnsi="Times New Roman" w:cs="Times New Roman"/>
              </w:rPr>
              <w:t>li investimenti che devono essere sostenuti tramite gli strumenti finanziari non sono materialmente completati o realizzati completamente alla data della decisione di investiment</w:t>
            </w:r>
            <w:r>
              <w:rPr>
                <w:rFonts w:ascii="Times New Roman" w:hAnsi="Times New Roman" w:cs="Times New Roman"/>
              </w:rPr>
              <w:t>o</w:t>
            </w:r>
            <w:r w:rsidRPr="00F2711D">
              <w:rPr>
                <w:rFonts w:ascii="Times New Roman" w:hAnsi="Times New Roman" w:cs="Times New Roman"/>
              </w:rPr>
              <w:t>. Se l'intenzione del</w:t>
            </w:r>
          </w:p>
          <w:p w14:paraId="25E7E2A4" w14:textId="5E92371E" w:rsidR="008C079F" w:rsidRPr="00F2711D" w:rsidRDefault="008C079F" w:rsidP="004E586F">
            <w:pPr>
              <w:spacing w:after="0" w:line="240" w:lineRule="auto"/>
              <w:jc w:val="both"/>
              <w:rPr>
                <w:rFonts w:ascii="Times New Roman" w:hAnsi="Times New Roman" w:cs="Times New Roman"/>
              </w:rPr>
            </w:pPr>
            <w:r w:rsidRPr="00F2711D">
              <w:rPr>
                <w:rFonts w:ascii="Times New Roman" w:hAnsi="Times New Roman" w:cs="Times New Roman"/>
              </w:rPr>
              <w:t>legislatore fosse quell</w:t>
            </w:r>
            <w:r>
              <w:rPr>
                <w:rFonts w:ascii="Times New Roman" w:hAnsi="Times New Roman" w:cs="Times New Roman"/>
              </w:rPr>
              <w:t>a</w:t>
            </w:r>
            <w:r w:rsidRPr="00F2711D">
              <w:rPr>
                <w:rFonts w:ascii="Times New Roman" w:hAnsi="Times New Roman" w:cs="Times New Roman"/>
              </w:rPr>
              <w:t xml:space="preserve"> di sostenere solo gli</w:t>
            </w:r>
            <w:r>
              <w:rPr>
                <w:rFonts w:ascii="Times New Roman" w:hAnsi="Times New Roman" w:cs="Times New Roman"/>
              </w:rPr>
              <w:t xml:space="preserve"> </w:t>
            </w:r>
            <w:r w:rsidRPr="00F2711D">
              <w:rPr>
                <w:rFonts w:ascii="Times New Roman" w:hAnsi="Times New Roman" w:cs="Times New Roman"/>
              </w:rPr>
              <w:t>investimenti che sarebbero completati</w:t>
            </w:r>
            <w:r>
              <w:rPr>
                <w:rFonts w:ascii="Times New Roman" w:hAnsi="Times New Roman" w:cs="Times New Roman"/>
              </w:rPr>
              <w:t xml:space="preserve"> </w:t>
            </w:r>
            <w:r w:rsidRPr="00F2711D">
              <w:rPr>
                <w:rFonts w:ascii="Times New Roman" w:hAnsi="Times New Roman" w:cs="Times New Roman"/>
              </w:rPr>
              <w:t>prima della chiusura di un programma,</w:t>
            </w:r>
            <w:r>
              <w:rPr>
                <w:rFonts w:ascii="Times New Roman" w:hAnsi="Times New Roman" w:cs="Times New Roman"/>
              </w:rPr>
              <w:t xml:space="preserve"> </w:t>
            </w:r>
            <w:r w:rsidRPr="00F2711D">
              <w:rPr>
                <w:rFonts w:ascii="Times New Roman" w:hAnsi="Times New Roman" w:cs="Times New Roman"/>
              </w:rPr>
              <w:t>sarebbe stata chiaramente indicata nel CPR,</w:t>
            </w:r>
            <w:r>
              <w:rPr>
                <w:rFonts w:ascii="Times New Roman" w:hAnsi="Times New Roman" w:cs="Times New Roman"/>
              </w:rPr>
              <w:t xml:space="preserve"> </w:t>
            </w:r>
            <w:r w:rsidRPr="00F2711D">
              <w:rPr>
                <w:rFonts w:ascii="Times New Roman" w:hAnsi="Times New Roman" w:cs="Times New Roman"/>
              </w:rPr>
              <w:t>mentre non è così. Vi preghiamo di confermare la nostra</w:t>
            </w:r>
            <w:r>
              <w:rPr>
                <w:rFonts w:ascii="Times New Roman" w:hAnsi="Times New Roman" w:cs="Times New Roman"/>
              </w:rPr>
              <w:t xml:space="preserve"> </w:t>
            </w:r>
            <w:r w:rsidRPr="00F2711D">
              <w:rPr>
                <w:rFonts w:ascii="Times New Roman" w:hAnsi="Times New Roman" w:cs="Times New Roman"/>
              </w:rPr>
              <w:t>posizione in merito alla suddetta</w:t>
            </w:r>
            <w:r>
              <w:rPr>
                <w:rFonts w:ascii="Times New Roman" w:hAnsi="Times New Roman" w:cs="Times New Roman"/>
              </w:rPr>
              <w:t xml:space="preserve"> </w:t>
            </w:r>
            <w:r w:rsidRPr="00F2711D">
              <w:rPr>
                <w:rFonts w:ascii="Times New Roman" w:hAnsi="Times New Roman" w:cs="Times New Roman"/>
              </w:rPr>
              <w:t>questione. Inoltre, vi preghiamo di prendere in considerazione le disposizioni</w:t>
            </w:r>
            <w:r>
              <w:rPr>
                <w:rFonts w:ascii="Times New Roman" w:hAnsi="Times New Roman" w:cs="Times New Roman"/>
              </w:rPr>
              <w:t xml:space="preserve"> </w:t>
            </w:r>
            <w:r w:rsidRPr="00F2711D">
              <w:rPr>
                <w:rFonts w:ascii="Times New Roman" w:hAnsi="Times New Roman" w:cs="Times New Roman"/>
              </w:rPr>
              <w:t xml:space="preserve">della sezione 3.6 </w:t>
            </w:r>
            <w:r>
              <w:rPr>
                <w:rFonts w:ascii="Times New Roman" w:hAnsi="Times New Roman" w:cs="Times New Roman"/>
              </w:rPr>
              <w:t>degli orientamenti</w:t>
            </w:r>
            <w:r w:rsidRPr="00F2711D">
              <w:rPr>
                <w:rFonts w:ascii="Times New Roman" w:hAnsi="Times New Roman" w:cs="Times New Roman"/>
              </w:rPr>
              <w:t xml:space="preserve"> sulla chiusura 2007-2013 e incorporare le relative disposizioni nell'attuale bozza </w:t>
            </w:r>
            <w:r>
              <w:rPr>
                <w:rFonts w:ascii="Times New Roman" w:hAnsi="Times New Roman" w:cs="Times New Roman"/>
              </w:rPr>
              <w:t>di orientamenti</w:t>
            </w:r>
            <w:r w:rsidRPr="00F2711D">
              <w:rPr>
                <w:rFonts w:ascii="Times New Roman" w:hAnsi="Times New Roman" w:cs="Times New Roman"/>
              </w:rPr>
              <w:t>,</w:t>
            </w:r>
          </w:p>
          <w:p w14:paraId="4BEE81F2" w14:textId="77777777" w:rsidR="008C079F" w:rsidRPr="00F2711D" w:rsidRDefault="008C079F" w:rsidP="004E586F">
            <w:pPr>
              <w:spacing w:after="0" w:line="240" w:lineRule="auto"/>
              <w:jc w:val="both"/>
              <w:rPr>
                <w:rFonts w:ascii="Times New Roman" w:hAnsi="Times New Roman" w:cs="Times New Roman"/>
              </w:rPr>
            </w:pPr>
            <w:r w:rsidRPr="00F2711D">
              <w:rPr>
                <w:rFonts w:ascii="Times New Roman" w:hAnsi="Times New Roman" w:cs="Times New Roman"/>
              </w:rPr>
              <w:t>in particolare sottolineando che non è</w:t>
            </w:r>
          </w:p>
          <w:p w14:paraId="1D56E60A" w14:textId="5D8F801D" w:rsidR="006510D9" w:rsidRPr="00662BE0" w:rsidRDefault="008C079F" w:rsidP="004E586F">
            <w:pPr>
              <w:jc w:val="both"/>
              <w:rPr>
                <w:rFonts w:ascii="Times New Roman" w:hAnsi="Times New Roman" w:cs="Times New Roman"/>
              </w:rPr>
            </w:pPr>
            <w:r w:rsidRPr="00F2711D">
              <w:rPr>
                <w:rFonts w:ascii="Times New Roman" w:hAnsi="Times New Roman" w:cs="Times New Roman"/>
              </w:rPr>
              <w:t>non è necessario che il destinatario finale abbia</w:t>
            </w:r>
            <w:r>
              <w:rPr>
                <w:rFonts w:ascii="Times New Roman" w:hAnsi="Times New Roman" w:cs="Times New Roman"/>
              </w:rPr>
              <w:t xml:space="preserve"> </w:t>
            </w:r>
            <w:r w:rsidRPr="00F2711D">
              <w:rPr>
                <w:rFonts w:ascii="Times New Roman" w:hAnsi="Times New Roman" w:cs="Times New Roman"/>
              </w:rPr>
              <w:t>completato l'attuazione di un'attività</w:t>
            </w:r>
            <w:r>
              <w:rPr>
                <w:rFonts w:ascii="Times New Roman" w:hAnsi="Times New Roman" w:cs="Times New Roman"/>
              </w:rPr>
              <w:t xml:space="preserve"> </w:t>
            </w:r>
            <w:r w:rsidRPr="00F2711D">
              <w:rPr>
                <w:rFonts w:ascii="Times New Roman" w:hAnsi="Times New Roman" w:cs="Times New Roman"/>
              </w:rPr>
              <w:t>di investimento sostenuta dallo strumento finanziario</w:t>
            </w:r>
            <w:r>
              <w:rPr>
                <w:rFonts w:ascii="Times New Roman" w:hAnsi="Times New Roman" w:cs="Times New Roman"/>
              </w:rPr>
              <w:t xml:space="preserve"> entro la </w:t>
            </w:r>
            <w:r w:rsidRPr="00F2711D">
              <w:rPr>
                <w:rFonts w:ascii="Times New Roman" w:hAnsi="Times New Roman" w:cs="Times New Roman"/>
              </w:rPr>
              <w:t xml:space="preserve">presentazione dei </w:t>
            </w:r>
            <w:r>
              <w:rPr>
                <w:rFonts w:ascii="Times New Roman" w:hAnsi="Times New Roman" w:cs="Times New Roman"/>
              </w:rPr>
              <w:t>d</w:t>
            </w:r>
            <w:r w:rsidRPr="00F2711D">
              <w:rPr>
                <w:rFonts w:ascii="Times New Roman" w:hAnsi="Times New Roman" w:cs="Times New Roman"/>
              </w:rPr>
              <w:t>ocumenti di chiusura.</w:t>
            </w:r>
          </w:p>
        </w:tc>
        <w:tc>
          <w:tcPr>
            <w:tcW w:w="4394" w:type="dxa"/>
          </w:tcPr>
          <w:p w14:paraId="29C3C408" w14:textId="1B3F762C" w:rsidR="006510D9" w:rsidRPr="00662BE0" w:rsidRDefault="008C079F" w:rsidP="004E586F">
            <w:pPr>
              <w:jc w:val="both"/>
              <w:rPr>
                <w:rFonts w:ascii="Times New Roman" w:hAnsi="Times New Roman" w:cs="Times New Roman"/>
              </w:rPr>
            </w:pPr>
            <w:r>
              <w:rPr>
                <w:rFonts w:ascii="Times New Roman" w:hAnsi="Times New Roman" w:cs="Times New Roman"/>
              </w:rPr>
              <w:lastRenderedPageBreak/>
              <w:t>Si veda la risposta al quesito 276</w:t>
            </w:r>
          </w:p>
        </w:tc>
      </w:tr>
    </w:tbl>
    <w:p w14:paraId="59839FE2" w14:textId="77777777" w:rsidR="00775C55" w:rsidRPr="00662BE0" w:rsidRDefault="00775C55" w:rsidP="00775C55"/>
    <w:sectPr w:rsidR="00775C55" w:rsidRPr="00662BE0" w:rsidSect="00775C55">
      <w:pgSz w:w="16838" w:h="11906" w:orient="landscape"/>
      <w:pgMar w:top="1134" w:right="141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306"/>
    <w:rsid w:val="00095017"/>
    <w:rsid w:val="00145798"/>
    <w:rsid w:val="00191CF6"/>
    <w:rsid w:val="001A23B1"/>
    <w:rsid w:val="003162FC"/>
    <w:rsid w:val="00414BBA"/>
    <w:rsid w:val="00470C52"/>
    <w:rsid w:val="004E586F"/>
    <w:rsid w:val="004F2631"/>
    <w:rsid w:val="00590DB8"/>
    <w:rsid w:val="005A5F66"/>
    <w:rsid w:val="006510D9"/>
    <w:rsid w:val="00662BE0"/>
    <w:rsid w:val="0073555F"/>
    <w:rsid w:val="00775C55"/>
    <w:rsid w:val="007C7AD3"/>
    <w:rsid w:val="00803EE7"/>
    <w:rsid w:val="008C079F"/>
    <w:rsid w:val="009254E9"/>
    <w:rsid w:val="00942DBD"/>
    <w:rsid w:val="00B66DCA"/>
    <w:rsid w:val="00C86A0B"/>
    <w:rsid w:val="00D027A5"/>
    <w:rsid w:val="00D3085D"/>
    <w:rsid w:val="00D75430"/>
    <w:rsid w:val="00DE1BD2"/>
    <w:rsid w:val="00E20505"/>
    <w:rsid w:val="00E35306"/>
    <w:rsid w:val="00F2711D"/>
    <w:rsid w:val="00F32551"/>
    <w:rsid w:val="00F548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71B36"/>
  <w15:chartTrackingRefBased/>
  <w15:docId w15:val="{9BBACD79-B77D-4BB6-8FE1-AD9503D1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775C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2450E-7FDC-4CF0-8D4F-8068F9871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9</Pages>
  <Words>2145</Words>
  <Characters>13174</Characters>
  <Application>Microsoft Office Word</Application>
  <DocSecurity>0</DocSecurity>
  <Lines>439</Lines>
  <Paragraphs>116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Morrone</dc:creator>
  <cp:keywords/>
  <dc:description/>
  <cp:lastModifiedBy>Claudia Morrone</cp:lastModifiedBy>
  <cp:revision>28</cp:revision>
  <dcterms:created xsi:type="dcterms:W3CDTF">2023-12-01T10:13:00Z</dcterms:created>
  <dcterms:modified xsi:type="dcterms:W3CDTF">2023-12-01T13:22:00Z</dcterms:modified>
</cp:coreProperties>
</file>