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4C0" w:rsidRPr="00436EA7" w:rsidRDefault="000E44C0">
      <w:pPr>
        <w:rPr>
          <w:rFonts w:ascii="Arial" w:hAnsi="Arial" w:cs="Arial"/>
          <w:b/>
        </w:rPr>
      </w:pPr>
      <w:r w:rsidRPr="00436EA7">
        <w:rPr>
          <w:rFonts w:ascii="Arial" w:hAnsi="Arial" w:cs="Arial"/>
          <w:b/>
        </w:rPr>
        <w:t>Schema di quadro economico</w:t>
      </w:r>
    </w:p>
    <w:tbl>
      <w:tblPr>
        <w:tblW w:w="9840" w:type="dxa"/>
        <w:tblCellMar>
          <w:left w:w="70" w:type="dxa"/>
          <w:right w:w="70" w:type="dxa"/>
        </w:tblCellMar>
        <w:tblLook w:val="04A0" w:firstRow="1" w:lastRow="0" w:firstColumn="1" w:lastColumn="0" w:noHBand="0" w:noVBand="1"/>
      </w:tblPr>
      <w:tblGrid>
        <w:gridCol w:w="960"/>
        <w:gridCol w:w="6340"/>
        <w:gridCol w:w="1580"/>
        <w:gridCol w:w="960"/>
      </w:tblGrid>
      <w:tr w:rsidR="000E44C0" w:rsidRPr="000C6203" w:rsidTr="00A2361A">
        <w:trPr>
          <w:trHeight w:val="300"/>
        </w:trPr>
        <w:tc>
          <w:tcPr>
            <w:tcW w:w="960" w:type="dxa"/>
            <w:tcBorders>
              <w:top w:val="nil"/>
              <w:left w:val="nil"/>
              <w:bottom w:val="nil"/>
              <w:right w:val="nil"/>
            </w:tcBorders>
            <w:shd w:val="clear" w:color="auto" w:fill="auto"/>
            <w:noWrap/>
            <w:vAlign w:val="bottom"/>
            <w:hideMark/>
          </w:tcPr>
          <w:p w:rsidR="000E44C0" w:rsidRPr="000C6203" w:rsidRDefault="000E44C0" w:rsidP="00A2361A">
            <w:pPr>
              <w:spacing w:after="0" w:line="240" w:lineRule="auto"/>
              <w:rPr>
                <w:rFonts w:ascii="Arial" w:eastAsia="Times New Roman" w:hAnsi="Arial" w:cs="Arial"/>
                <w:lang w:eastAsia="it-IT"/>
              </w:rPr>
            </w:pPr>
          </w:p>
        </w:tc>
        <w:tc>
          <w:tcPr>
            <w:tcW w:w="6340" w:type="dxa"/>
            <w:tcBorders>
              <w:top w:val="nil"/>
              <w:left w:val="nil"/>
              <w:bottom w:val="nil"/>
              <w:right w:val="nil"/>
            </w:tcBorders>
            <w:shd w:val="clear" w:color="auto" w:fill="auto"/>
            <w:noWrap/>
            <w:vAlign w:val="bottom"/>
            <w:hideMark/>
          </w:tcPr>
          <w:p w:rsidR="000E44C0" w:rsidRDefault="000E44C0" w:rsidP="00A2361A">
            <w:pPr>
              <w:spacing w:after="0" w:line="240" w:lineRule="auto"/>
              <w:rPr>
                <w:rFonts w:ascii="Arial" w:eastAsia="Times New Roman" w:hAnsi="Arial" w:cs="Arial"/>
                <w:lang w:eastAsia="it-IT"/>
              </w:rPr>
            </w:pPr>
          </w:p>
          <w:p w:rsidR="00111496" w:rsidRPr="000C6203" w:rsidRDefault="00111496" w:rsidP="00A2361A">
            <w:pPr>
              <w:spacing w:after="0" w:line="240" w:lineRule="auto"/>
              <w:rPr>
                <w:rFonts w:ascii="Arial" w:eastAsia="Times New Roman" w:hAnsi="Arial" w:cs="Arial"/>
                <w:lang w:eastAsia="it-IT"/>
              </w:rPr>
            </w:pPr>
          </w:p>
        </w:tc>
        <w:tc>
          <w:tcPr>
            <w:tcW w:w="1580" w:type="dxa"/>
            <w:tcBorders>
              <w:top w:val="nil"/>
              <w:left w:val="nil"/>
              <w:bottom w:val="nil"/>
              <w:right w:val="nil"/>
            </w:tcBorders>
            <w:shd w:val="clear" w:color="auto" w:fill="auto"/>
            <w:noWrap/>
            <w:vAlign w:val="bottom"/>
            <w:hideMark/>
          </w:tcPr>
          <w:p w:rsidR="000E44C0" w:rsidRPr="000C6203" w:rsidRDefault="000E44C0" w:rsidP="00A2361A">
            <w:pPr>
              <w:spacing w:after="0" w:line="240" w:lineRule="auto"/>
              <w:rPr>
                <w:rFonts w:ascii="Arial" w:eastAsia="Times New Roman" w:hAnsi="Arial" w:cs="Arial"/>
                <w:lang w:eastAsia="it-IT"/>
              </w:rPr>
            </w:pPr>
          </w:p>
        </w:tc>
        <w:tc>
          <w:tcPr>
            <w:tcW w:w="960" w:type="dxa"/>
            <w:tcBorders>
              <w:top w:val="nil"/>
              <w:left w:val="nil"/>
              <w:bottom w:val="nil"/>
              <w:right w:val="nil"/>
            </w:tcBorders>
            <w:shd w:val="clear" w:color="auto" w:fill="auto"/>
            <w:noWrap/>
            <w:vAlign w:val="bottom"/>
            <w:hideMark/>
          </w:tcPr>
          <w:p w:rsidR="000E44C0" w:rsidRPr="000C6203" w:rsidRDefault="000E44C0" w:rsidP="00A2361A">
            <w:pPr>
              <w:spacing w:after="0" w:line="240" w:lineRule="auto"/>
              <w:rPr>
                <w:rFonts w:ascii="Arial" w:eastAsia="Times New Roman" w:hAnsi="Arial" w:cs="Arial"/>
                <w:lang w:eastAsia="it-IT"/>
              </w:rPr>
            </w:pPr>
          </w:p>
        </w:tc>
      </w:tr>
      <w:tr w:rsidR="000E44C0" w:rsidRPr="000C6203" w:rsidTr="009D2175">
        <w:trPr>
          <w:trHeight w:val="375"/>
        </w:trPr>
        <w:tc>
          <w:tcPr>
            <w:tcW w:w="960" w:type="dxa"/>
            <w:tcBorders>
              <w:top w:val="nil"/>
              <w:left w:val="nil"/>
              <w:bottom w:val="nil"/>
              <w:right w:val="nil"/>
            </w:tcBorders>
            <w:shd w:val="clear" w:color="auto" w:fill="auto"/>
            <w:noWrap/>
            <w:vAlign w:val="bottom"/>
          </w:tcPr>
          <w:p w:rsidR="000E44C0" w:rsidRPr="000C6203" w:rsidRDefault="000E44C0" w:rsidP="00A2361A">
            <w:pPr>
              <w:spacing w:after="0" w:line="240" w:lineRule="auto"/>
              <w:rPr>
                <w:rFonts w:ascii="Arial" w:eastAsia="Times New Roman" w:hAnsi="Arial" w:cs="Arial"/>
                <w:lang w:eastAsia="it-IT"/>
              </w:rPr>
            </w:pPr>
          </w:p>
        </w:tc>
        <w:tc>
          <w:tcPr>
            <w:tcW w:w="7920" w:type="dxa"/>
            <w:gridSpan w:val="2"/>
            <w:tcBorders>
              <w:top w:val="single" w:sz="12" w:space="0" w:color="000000"/>
              <w:left w:val="single" w:sz="12" w:space="0" w:color="000000"/>
              <w:bottom w:val="single" w:sz="12" w:space="0" w:color="000000"/>
              <w:right w:val="single" w:sz="12" w:space="0" w:color="000000"/>
            </w:tcBorders>
            <w:shd w:val="clear" w:color="auto" w:fill="FFE599" w:themeFill="accent4" w:themeFillTint="66"/>
            <w:vAlign w:val="center"/>
          </w:tcPr>
          <w:p w:rsidR="000E44C0" w:rsidRPr="000C6203" w:rsidRDefault="000E44C0" w:rsidP="000E44C0">
            <w:pPr>
              <w:spacing w:after="0" w:line="240" w:lineRule="auto"/>
              <w:jc w:val="center"/>
              <w:rPr>
                <w:rFonts w:ascii="Arial" w:eastAsia="Times New Roman" w:hAnsi="Arial" w:cs="Arial"/>
                <w:b/>
                <w:bCs/>
                <w:lang w:eastAsia="it-IT"/>
              </w:rPr>
            </w:pPr>
            <w:r w:rsidRPr="000C6203">
              <w:rPr>
                <w:rFonts w:ascii="Arial" w:eastAsia="Times New Roman" w:hAnsi="Arial" w:cs="Arial"/>
                <w:b/>
                <w:bCs/>
                <w:lang w:eastAsia="it-IT"/>
              </w:rPr>
              <w:t>Voci</w:t>
            </w:r>
          </w:p>
          <w:p w:rsidR="000E44C0" w:rsidRPr="000C6203" w:rsidRDefault="000E44C0" w:rsidP="000E44C0">
            <w:pPr>
              <w:spacing w:after="0" w:line="240" w:lineRule="auto"/>
              <w:jc w:val="center"/>
              <w:rPr>
                <w:rFonts w:ascii="Arial" w:eastAsia="Times New Roman" w:hAnsi="Arial" w:cs="Arial"/>
                <w:b/>
                <w:bCs/>
                <w:lang w:eastAsia="it-IT"/>
              </w:rPr>
            </w:pPr>
            <w:r w:rsidRPr="000C6203">
              <w:rPr>
                <w:rFonts w:ascii="Arial" w:eastAsia="Times New Roman" w:hAnsi="Arial" w:cs="Arial"/>
                <w:b/>
                <w:bCs/>
                <w:lang w:eastAsia="it-IT"/>
              </w:rPr>
              <w:t xml:space="preserve">(I riferimenti al Codice si intendono al </w:t>
            </w:r>
            <w:proofErr w:type="spellStart"/>
            <w:proofErr w:type="gramStart"/>
            <w:r w:rsidRPr="000C6203">
              <w:rPr>
                <w:rFonts w:ascii="Arial" w:eastAsia="Times New Roman" w:hAnsi="Arial" w:cs="Arial"/>
                <w:b/>
                <w:bCs/>
                <w:lang w:eastAsia="it-IT"/>
              </w:rPr>
              <w:t>D.Lgs</w:t>
            </w:r>
            <w:proofErr w:type="gramEnd"/>
            <w:r w:rsidRPr="000C6203">
              <w:rPr>
                <w:rFonts w:ascii="Arial" w:eastAsia="Times New Roman" w:hAnsi="Arial" w:cs="Arial"/>
                <w:b/>
                <w:bCs/>
                <w:lang w:eastAsia="it-IT"/>
              </w:rPr>
              <w:t>.</w:t>
            </w:r>
            <w:proofErr w:type="spellEnd"/>
            <w:r w:rsidRPr="000C6203">
              <w:rPr>
                <w:rFonts w:ascii="Arial" w:eastAsia="Times New Roman" w:hAnsi="Arial" w:cs="Arial"/>
                <w:b/>
                <w:bCs/>
                <w:lang w:eastAsia="it-IT"/>
              </w:rPr>
              <w:t xml:space="preserve"> n. 36/2023)</w:t>
            </w:r>
          </w:p>
        </w:tc>
        <w:tc>
          <w:tcPr>
            <w:tcW w:w="960" w:type="dxa"/>
            <w:tcBorders>
              <w:top w:val="nil"/>
              <w:left w:val="nil"/>
              <w:bottom w:val="nil"/>
              <w:right w:val="nil"/>
            </w:tcBorders>
            <w:shd w:val="clear" w:color="auto" w:fill="auto"/>
            <w:noWrap/>
            <w:vAlign w:val="bottom"/>
          </w:tcPr>
          <w:p w:rsidR="000E44C0" w:rsidRPr="000C6203" w:rsidRDefault="000E44C0" w:rsidP="00A2361A">
            <w:pPr>
              <w:spacing w:after="0" w:line="240" w:lineRule="auto"/>
              <w:rPr>
                <w:rFonts w:ascii="Arial" w:eastAsia="Times New Roman" w:hAnsi="Arial" w:cs="Arial"/>
                <w:b/>
                <w:bCs/>
                <w:lang w:eastAsia="it-IT"/>
              </w:rPr>
            </w:pPr>
          </w:p>
        </w:tc>
      </w:tr>
      <w:tr w:rsidR="004D6446" w:rsidRPr="000C6203" w:rsidTr="004D6446">
        <w:trPr>
          <w:trHeight w:val="375"/>
        </w:trPr>
        <w:tc>
          <w:tcPr>
            <w:tcW w:w="960" w:type="dxa"/>
            <w:tcBorders>
              <w:top w:val="nil"/>
              <w:left w:val="nil"/>
              <w:bottom w:val="nil"/>
              <w:right w:val="nil"/>
            </w:tcBorders>
            <w:shd w:val="clear" w:color="auto" w:fill="auto"/>
            <w:noWrap/>
            <w:vAlign w:val="bottom"/>
            <w:hideMark/>
          </w:tcPr>
          <w:p w:rsidR="004D6446" w:rsidRPr="000C6203" w:rsidRDefault="004D6446" w:rsidP="00A2361A">
            <w:pPr>
              <w:spacing w:after="0" w:line="240" w:lineRule="auto"/>
              <w:rPr>
                <w:rFonts w:ascii="Arial" w:eastAsia="Times New Roman" w:hAnsi="Arial" w:cs="Arial"/>
                <w:lang w:eastAsia="it-IT"/>
              </w:rPr>
            </w:pPr>
          </w:p>
        </w:tc>
        <w:tc>
          <w:tcPr>
            <w:tcW w:w="6340" w:type="dxa"/>
            <w:tcBorders>
              <w:top w:val="single" w:sz="12" w:space="0" w:color="000000"/>
              <w:left w:val="single" w:sz="12" w:space="0" w:color="000000"/>
              <w:bottom w:val="single" w:sz="12" w:space="0" w:color="000000"/>
              <w:right w:val="single" w:sz="12" w:space="0" w:color="000000"/>
            </w:tcBorders>
            <w:shd w:val="clear" w:color="000000" w:fill="FFFFCC"/>
            <w:vAlign w:val="center"/>
            <w:hideMark/>
          </w:tcPr>
          <w:p w:rsidR="004D6446" w:rsidRPr="000C6203" w:rsidRDefault="004D6446" w:rsidP="000E44C0">
            <w:pPr>
              <w:spacing w:after="0" w:line="240" w:lineRule="auto"/>
              <w:rPr>
                <w:rFonts w:ascii="Arial" w:eastAsia="Times New Roman" w:hAnsi="Arial" w:cs="Arial"/>
                <w:b/>
                <w:bCs/>
                <w:lang w:eastAsia="it-IT"/>
              </w:rPr>
            </w:pPr>
            <w:r w:rsidRPr="000C6203">
              <w:rPr>
                <w:rFonts w:ascii="Arial" w:eastAsia="Times New Roman" w:hAnsi="Arial" w:cs="Arial"/>
                <w:b/>
                <w:bCs/>
                <w:lang w:eastAsia="it-IT"/>
              </w:rPr>
              <w:t>A - LAVORI (</w:t>
            </w:r>
            <w:r w:rsidRPr="000C6203">
              <w:rPr>
                <w:rFonts w:ascii="Arial" w:eastAsia="Times New Roman" w:hAnsi="Arial" w:cs="Arial"/>
                <w:b/>
                <w:bCs/>
                <w:i/>
                <w:lang w:eastAsia="it-IT"/>
              </w:rPr>
              <w:t>nota1</w:t>
            </w:r>
            <w:r w:rsidRPr="000C6203">
              <w:rPr>
                <w:rFonts w:ascii="Arial" w:eastAsia="Times New Roman" w:hAnsi="Arial" w:cs="Arial"/>
                <w:b/>
                <w:bCs/>
                <w:lang w:eastAsia="it-IT"/>
              </w:rPr>
              <w:t>)</w:t>
            </w:r>
          </w:p>
        </w:tc>
        <w:tc>
          <w:tcPr>
            <w:tcW w:w="1580" w:type="dxa"/>
            <w:tcBorders>
              <w:top w:val="single" w:sz="12" w:space="0" w:color="000000"/>
              <w:left w:val="single" w:sz="12" w:space="0" w:color="000000"/>
              <w:bottom w:val="single" w:sz="12" w:space="0" w:color="000000"/>
              <w:right w:val="single" w:sz="12" w:space="0" w:color="000000"/>
            </w:tcBorders>
            <w:shd w:val="clear" w:color="000000" w:fill="FFFFCC"/>
            <w:vAlign w:val="center"/>
          </w:tcPr>
          <w:p w:rsidR="004D6446" w:rsidRPr="000C6203" w:rsidRDefault="005A3AFB" w:rsidP="004D6446">
            <w:pPr>
              <w:spacing w:after="0" w:line="240" w:lineRule="auto"/>
              <w:jc w:val="center"/>
              <w:rPr>
                <w:rFonts w:ascii="Arial" w:eastAsia="Times New Roman" w:hAnsi="Arial" w:cs="Arial"/>
                <w:b/>
                <w:bCs/>
                <w:lang w:eastAsia="it-IT"/>
              </w:rPr>
            </w:pPr>
            <w:r w:rsidRPr="000C6203">
              <w:rPr>
                <w:rFonts w:ascii="Arial" w:eastAsia="Times New Roman" w:hAnsi="Arial" w:cs="Arial"/>
                <w:b/>
                <w:bCs/>
                <w:i/>
                <w:iCs/>
                <w:color w:val="7F0000"/>
                <w:lang w:eastAsia="it-IT"/>
              </w:rPr>
              <w:t>Euro</w:t>
            </w:r>
          </w:p>
        </w:tc>
        <w:tc>
          <w:tcPr>
            <w:tcW w:w="960" w:type="dxa"/>
            <w:tcBorders>
              <w:top w:val="nil"/>
              <w:left w:val="nil"/>
              <w:bottom w:val="nil"/>
              <w:right w:val="nil"/>
            </w:tcBorders>
            <w:shd w:val="clear" w:color="auto" w:fill="auto"/>
            <w:noWrap/>
            <w:vAlign w:val="bottom"/>
            <w:hideMark/>
          </w:tcPr>
          <w:p w:rsidR="004D6446" w:rsidRPr="000C6203" w:rsidRDefault="004D6446" w:rsidP="00A2361A">
            <w:pPr>
              <w:spacing w:after="0" w:line="240" w:lineRule="auto"/>
              <w:rPr>
                <w:rFonts w:ascii="Arial" w:eastAsia="Times New Roman" w:hAnsi="Arial" w:cs="Arial"/>
                <w:b/>
                <w:bCs/>
                <w:lang w:eastAsia="it-IT"/>
              </w:rPr>
            </w:pPr>
          </w:p>
        </w:tc>
      </w:tr>
      <w:tr w:rsidR="00CA01D5" w:rsidRPr="000C6203" w:rsidTr="00A2361A">
        <w:trPr>
          <w:trHeight w:val="375"/>
        </w:trPr>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CA01D5" w:rsidRPr="000C6203" w:rsidRDefault="00CA01D5" w:rsidP="00CA01D5">
            <w:pPr>
              <w:spacing w:after="0" w:line="240" w:lineRule="auto"/>
              <w:rPr>
                <w:rFonts w:ascii="Arial" w:eastAsia="Times New Roman" w:hAnsi="Arial" w:cs="Arial"/>
                <w:color w:val="000000"/>
                <w:lang w:eastAsia="it-IT"/>
              </w:rPr>
            </w:pPr>
            <w:r w:rsidRPr="000C6203">
              <w:rPr>
                <w:rFonts w:ascii="Arial" w:eastAsia="Times New Roman" w:hAnsi="Arial" w:cs="Arial"/>
                <w:color w:val="000000"/>
                <w:lang w:eastAsia="it-IT"/>
              </w:rPr>
              <w:t xml:space="preserve">1) a corpo </w:t>
            </w:r>
          </w:p>
        </w:tc>
        <w:tc>
          <w:tcPr>
            <w:tcW w:w="1580" w:type="dxa"/>
            <w:tcBorders>
              <w:top w:val="nil"/>
              <w:left w:val="nil"/>
              <w:bottom w:val="single" w:sz="12" w:space="0" w:color="7F7F7F"/>
              <w:right w:val="single" w:sz="12" w:space="0" w:color="000000"/>
            </w:tcBorders>
            <w:shd w:val="clear" w:color="000000" w:fill="FFFFCC"/>
            <w:vAlign w:val="center"/>
            <w:hideMark/>
          </w:tcPr>
          <w:p w:rsidR="00CA01D5" w:rsidRPr="000C6203" w:rsidRDefault="00CA01D5" w:rsidP="00CA01D5">
            <w:pPr>
              <w:spacing w:after="0" w:line="240" w:lineRule="auto"/>
              <w:jc w:val="right"/>
              <w:rPr>
                <w:rFonts w:ascii="Arial" w:eastAsia="Times New Roman" w:hAnsi="Arial" w:cs="Arial"/>
                <w:b/>
                <w:bCs/>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jc w:val="right"/>
              <w:rPr>
                <w:rFonts w:ascii="Arial" w:eastAsia="Times New Roman" w:hAnsi="Arial" w:cs="Arial"/>
                <w:b/>
                <w:bCs/>
                <w:color w:val="000000"/>
                <w:lang w:eastAsia="it-IT"/>
              </w:rPr>
            </w:pPr>
          </w:p>
        </w:tc>
      </w:tr>
      <w:tr w:rsidR="00CA01D5" w:rsidRPr="000C6203" w:rsidTr="00A2361A">
        <w:trPr>
          <w:trHeight w:val="375"/>
        </w:trPr>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CA01D5" w:rsidRPr="000C6203" w:rsidRDefault="00CA01D5" w:rsidP="00CA01D5">
            <w:pPr>
              <w:spacing w:after="0" w:line="240" w:lineRule="auto"/>
              <w:rPr>
                <w:rFonts w:ascii="Arial" w:eastAsia="Times New Roman" w:hAnsi="Arial" w:cs="Arial"/>
                <w:color w:val="000000"/>
                <w:lang w:eastAsia="it-IT"/>
              </w:rPr>
            </w:pPr>
            <w:r w:rsidRPr="000C6203">
              <w:rPr>
                <w:rFonts w:ascii="Arial" w:eastAsia="Times New Roman" w:hAnsi="Arial" w:cs="Arial"/>
                <w:color w:val="000000"/>
                <w:lang w:eastAsia="it-IT"/>
              </w:rPr>
              <w:t xml:space="preserve">2) a misura </w:t>
            </w:r>
          </w:p>
        </w:tc>
        <w:tc>
          <w:tcPr>
            <w:tcW w:w="1580" w:type="dxa"/>
            <w:tcBorders>
              <w:top w:val="nil"/>
              <w:left w:val="nil"/>
              <w:bottom w:val="single" w:sz="12" w:space="0" w:color="7F7F7F"/>
              <w:right w:val="single" w:sz="12" w:space="0" w:color="000000"/>
            </w:tcBorders>
            <w:shd w:val="clear" w:color="000000" w:fill="FFFFCC"/>
            <w:vAlign w:val="center"/>
            <w:hideMark/>
          </w:tcPr>
          <w:p w:rsidR="00CA01D5" w:rsidRPr="000C6203" w:rsidRDefault="00CA01D5" w:rsidP="00CA01D5">
            <w:pPr>
              <w:spacing w:after="0" w:line="240" w:lineRule="auto"/>
              <w:jc w:val="right"/>
              <w:rPr>
                <w:rFonts w:ascii="Arial" w:eastAsia="Times New Roman" w:hAnsi="Arial" w:cs="Arial"/>
                <w:b/>
                <w:bCs/>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jc w:val="right"/>
              <w:rPr>
                <w:rFonts w:ascii="Arial" w:eastAsia="Times New Roman" w:hAnsi="Arial" w:cs="Arial"/>
                <w:b/>
                <w:bCs/>
                <w:color w:val="000000"/>
                <w:lang w:eastAsia="it-IT"/>
              </w:rPr>
            </w:pPr>
          </w:p>
        </w:tc>
      </w:tr>
      <w:tr w:rsidR="00CA01D5" w:rsidRPr="000C6203" w:rsidTr="00A2361A">
        <w:trPr>
          <w:trHeight w:val="375"/>
        </w:trPr>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CA01D5" w:rsidRPr="000C6203" w:rsidRDefault="00CA01D5" w:rsidP="00CA01D5">
            <w:pPr>
              <w:spacing w:after="0" w:line="240" w:lineRule="auto"/>
              <w:rPr>
                <w:rFonts w:ascii="Arial" w:eastAsia="Times New Roman" w:hAnsi="Arial" w:cs="Arial"/>
                <w:color w:val="000000"/>
                <w:lang w:eastAsia="it-IT"/>
              </w:rPr>
            </w:pPr>
            <w:r w:rsidRPr="000C6203">
              <w:rPr>
                <w:rFonts w:ascii="Arial" w:eastAsia="Times New Roman" w:hAnsi="Arial" w:cs="Arial"/>
                <w:color w:val="000000"/>
                <w:lang w:eastAsia="it-IT"/>
              </w:rPr>
              <w:t>3) costi della sicurezza non soggetti, a ribasso d’asta</w:t>
            </w:r>
          </w:p>
        </w:tc>
        <w:tc>
          <w:tcPr>
            <w:tcW w:w="1580" w:type="dxa"/>
            <w:tcBorders>
              <w:top w:val="nil"/>
              <w:left w:val="nil"/>
              <w:bottom w:val="single" w:sz="12" w:space="0" w:color="7F7F7F"/>
              <w:right w:val="single" w:sz="12" w:space="0" w:color="000000"/>
            </w:tcBorders>
            <w:shd w:val="clear" w:color="000000" w:fill="FFFFCC"/>
            <w:vAlign w:val="center"/>
            <w:hideMark/>
          </w:tcPr>
          <w:p w:rsidR="00CA01D5" w:rsidRPr="000C6203" w:rsidRDefault="00CA01D5" w:rsidP="00CA01D5">
            <w:pPr>
              <w:spacing w:after="0" w:line="240" w:lineRule="auto"/>
              <w:jc w:val="right"/>
              <w:rPr>
                <w:rFonts w:ascii="Arial" w:eastAsia="Times New Roman" w:hAnsi="Arial" w:cs="Arial"/>
                <w:b/>
                <w:bCs/>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jc w:val="right"/>
              <w:rPr>
                <w:rFonts w:ascii="Arial" w:eastAsia="Times New Roman" w:hAnsi="Arial" w:cs="Arial"/>
                <w:b/>
                <w:bCs/>
                <w:color w:val="000000"/>
                <w:lang w:eastAsia="it-IT"/>
              </w:rPr>
            </w:pPr>
          </w:p>
        </w:tc>
      </w:tr>
      <w:tr w:rsidR="00CA01D5" w:rsidRPr="000C6203" w:rsidTr="00A2361A">
        <w:trPr>
          <w:trHeight w:val="816"/>
        </w:trPr>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CA01D5" w:rsidRPr="000C6203" w:rsidRDefault="00CA01D5" w:rsidP="00E348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4) opere di mitigazione e di compensazione dell’impatto ambientale e sociale, nel limite di importo del 2% del costo complessivo dell’opera; costi per il monitoraggio ambientale</w:t>
            </w:r>
          </w:p>
        </w:tc>
        <w:tc>
          <w:tcPr>
            <w:tcW w:w="1580" w:type="dxa"/>
            <w:tcBorders>
              <w:top w:val="nil"/>
              <w:left w:val="nil"/>
              <w:bottom w:val="single" w:sz="12" w:space="0" w:color="7F7F7F"/>
              <w:right w:val="single" w:sz="12" w:space="0" w:color="000000"/>
            </w:tcBorders>
            <w:shd w:val="clear" w:color="000000" w:fill="FFFFCC"/>
            <w:vAlign w:val="center"/>
            <w:hideMark/>
          </w:tcPr>
          <w:p w:rsidR="00CA01D5" w:rsidRPr="000C6203" w:rsidRDefault="00CA01D5" w:rsidP="00CA01D5">
            <w:pPr>
              <w:spacing w:after="0" w:line="240" w:lineRule="auto"/>
              <w:jc w:val="right"/>
              <w:rPr>
                <w:rFonts w:ascii="Arial" w:eastAsia="Times New Roman" w:hAnsi="Arial" w:cs="Arial"/>
                <w:b/>
                <w:bCs/>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jc w:val="right"/>
              <w:rPr>
                <w:rFonts w:ascii="Arial" w:eastAsia="Times New Roman" w:hAnsi="Arial" w:cs="Arial"/>
                <w:b/>
                <w:bCs/>
                <w:color w:val="000000"/>
                <w:lang w:eastAsia="it-IT"/>
              </w:rPr>
            </w:pPr>
          </w:p>
        </w:tc>
      </w:tr>
      <w:tr w:rsidR="00CA01D5" w:rsidRPr="000C6203" w:rsidTr="00A2361A">
        <w:trPr>
          <w:trHeight w:val="312"/>
        </w:trPr>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CA01D5" w:rsidRPr="000C6203" w:rsidRDefault="00CA01D5" w:rsidP="00CA01D5">
            <w:pPr>
              <w:spacing w:after="0" w:line="240" w:lineRule="auto"/>
              <w:jc w:val="right"/>
              <w:rPr>
                <w:rFonts w:ascii="Arial" w:eastAsia="Times New Roman" w:hAnsi="Arial" w:cs="Arial"/>
                <w:b/>
                <w:bCs/>
                <w:color w:val="000000"/>
                <w:lang w:eastAsia="it-IT"/>
              </w:rPr>
            </w:pPr>
            <w:r w:rsidRPr="000C6203">
              <w:rPr>
                <w:rFonts w:ascii="Arial" w:eastAsia="Times New Roman" w:hAnsi="Arial" w:cs="Arial"/>
                <w:b/>
                <w:bCs/>
                <w:color w:val="000000"/>
                <w:lang w:eastAsia="it-IT"/>
              </w:rPr>
              <w:t>A.1) IMPORTO DEI LAVORI A BASE DI GARA (1+2)</w:t>
            </w:r>
          </w:p>
        </w:tc>
        <w:tc>
          <w:tcPr>
            <w:tcW w:w="1580" w:type="dxa"/>
            <w:tcBorders>
              <w:top w:val="nil"/>
              <w:left w:val="nil"/>
              <w:bottom w:val="single" w:sz="12" w:space="0" w:color="7F7F7F"/>
              <w:right w:val="single" w:sz="12" w:space="0" w:color="000000"/>
            </w:tcBorders>
            <w:shd w:val="clear" w:color="000000" w:fill="FFFFCC"/>
            <w:vAlign w:val="center"/>
            <w:hideMark/>
          </w:tcPr>
          <w:p w:rsidR="00CA01D5" w:rsidRPr="000C6203" w:rsidRDefault="00CA01D5" w:rsidP="00CA01D5">
            <w:pPr>
              <w:spacing w:after="0" w:line="240" w:lineRule="auto"/>
              <w:jc w:val="right"/>
              <w:rPr>
                <w:rFonts w:ascii="Arial" w:eastAsia="Times New Roman" w:hAnsi="Arial" w:cs="Arial"/>
                <w:b/>
                <w:bCs/>
                <w:i/>
                <w:iCs/>
                <w:color w:val="7F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jc w:val="right"/>
              <w:rPr>
                <w:rFonts w:ascii="Arial" w:eastAsia="Times New Roman" w:hAnsi="Arial" w:cs="Arial"/>
                <w:b/>
                <w:bCs/>
                <w:i/>
                <w:iCs/>
                <w:color w:val="7F0000"/>
                <w:lang w:eastAsia="it-IT"/>
              </w:rPr>
            </w:pPr>
          </w:p>
        </w:tc>
      </w:tr>
      <w:tr w:rsidR="00CA01D5" w:rsidRPr="000C6203" w:rsidTr="00A2361A">
        <w:trPr>
          <w:trHeight w:val="312"/>
        </w:trPr>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CA01D5" w:rsidRPr="000C6203" w:rsidRDefault="00CA01D5" w:rsidP="00CA01D5">
            <w:pPr>
              <w:spacing w:after="0" w:line="240" w:lineRule="auto"/>
              <w:jc w:val="right"/>
              <w:rPr>
                <w:rFonts w:ascii="Arial" w:eastAsia="Times New Roman" w:hAnsi="Arial" w:cs="Arial"/>
                <w:b/>
                <w:bCs/>
                <w:i/>
                <w:iCs/>
                <w:color w:val="000000"/>
                <w:lang w:eastAsia="it-IT"/>
              </w:rPr>
            </w:pPr>
            <w:r w:rsidRPr="000C6203">
              <w:rPr>
                <w:rFonts w:ascii="Arial" w:eastAsia="Times New Roman" w:hAnsi="Arial" w:cs="Arial"/>
                <w:b/>
                <w:bCs/>
                <w:i/>
                <w:iCs/>
                <w:color w:val="000000"/>
                <w:lang w:eastAsia="it-IT"/>
              </w:rPr>
              <w:t>Totale lavori da appaltare (1+2+3+4)</w:t>
            </w:r>
          </w:p>
        </w:tc>
        <w:tc>
          <w:tcPr>
            <w:tcW w:w="1580" w:type="dxa"/>
            <w:tcBorders>
              <w:top w:val="nil"/>
              <w:left w:val="nil"/>
              <w:bottom w:val="single" w:sz="12" w:space="0" w:color="000000"/>
              <w:right w:val="single" w:sz="12" w:space="0" w:color="000000"/>
            </w:tcBorders>
            <w:shd w:val="clear" w:color="000000" w:fill="FFFFCC"/>
            <w:vAlign w:val="center"/>
            <w:hideMark/>
          </w:tcPr>
          <w:p w:rsidR="00CA01D5" w:rsidRPr="000C6203" w:rsidRDefault="00CA01D5" w:rsidP="00CA01D5">
            <w:pPr>
              <w:spacing w:after="0" w:line="240" w:lineRule="auto"/>
              <w:jc w:val="right"/>
              <w:rPr>
                <w:rFonts w:ascii="Arial" w:eastAsia="Times New Roman" w:hAnsi="Arial" w:cs="Arial"/>
                <w:b/>
                <w:bCs/>
                <w:i/>
                <w:iCs/>
                <w:color w:val="7F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jc w:val="right"/>
              <w:rPr>
                <w:rFonts w:ascii="Arial" w:eastAsia="Times New Roman" w:hAnsi="Arial" w:cs="Arial"/>
                <w:b/>
                <w:bCs/>
                <w:i/>
                <w:iCs/>
                <w:color w:val="7F0000"/>
                <w:lang w:eastAsia="it-IT"/>
              </w:rPr>
            </w:pPr>
          </w:p>
        </w:tc>
      </w:tr>
      <w:tr w:rsidR="00CA01D5" w:rsidRPr="000C6203" w:rsidTr="00A2361A">
        <w:trPr>
          <w:trHeight w:val="375"/>
        </w:trPr>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rPr>
                <w:rFonts w:ascii="Arial" w:eastAsia="Times New Roman" w:hAnsi="Arial" w:cs="Arial"/>
                <w:lang w:eastAsia="it-IT"/>
              </w:rPr>
            </w:pPr>
          </w:p>
        </w:tc>
        <w:tc>
          <w:tcPr>
            <w:tcW w:w="7920" w:type="dxa"/>
            <w:gridSpan w:val="2"/>
            <w:tcBorders>
              <w:top w:val="single" w:sz="12" w:space="0" w:color="000000"/>
              <w:left w:val="single" w:sz="12" w:space="0" w:color="000000"/>
              <w:bottom w:val="single" w:sz="12" w:space="0" w:color="000000"/>
              <w:right w:val="single" w:sz="12" w:space="0" w:color="000000"/>
            </w:tcBorders>
            <w:shd w:val="clear" w:color="000000" w:fill="CCFFFF"/>
            <w:vAlign w:val="center"/>
            <w:hideMark/>
          </w:tcPr>
          <w:p w:rsidR="00CA01D5" w:rsidRPr="000C6203" w:rsidRDefault="00CA01D5" w:rsidP="00CA01D5">
            <w:pPr>
              <w:spacing w:after="0" w:line="240" w:lineRule="auto"/>
              <w:rPr>
                <w:rFonts w:ascii="Arial" w:eastAsia="Times New Roman" w:hAnsi="Arial" w:cs="Arial"/>
                <w:b/>
                <w:bCs/>
                <w:color w:val="000000"/>
                <w:lang w:eastAsia="it-IT"/>
              </w:rPr>
            </w:pPr>
            <w:r w:rsidRPr="000C6203">
              <w:rPr>
                <w:rFonts w:ascii="Arial" w:eastAsia="Times New Roman" w:hAnsi="Arial" w:cs="Arial"/>
                <w:b/>
                <w:bCs/>
                <w:color w:val="000000"/>
                <w:lang w:eastAsia="it-IT"/>
              </w:rPr>
              <w:t>B - SOMME A DISPOSIZIONE DELLA STAZIONE APPALTANTE PER:</w:t>
            </w:r>
          </w:p>
        </w:tc>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rPr>
                <w:rFonts w:ascii="Arial" w:eastAsia="Times New Roman" w:hAnsi="Arial" w:cs="Arial"/>
                <w:b/>
                <w:bCs/>
                <w:color w:val="000000"/>
                <w:lang w:eastAsia="it-IT"/>
              </w:rPr>
            </w:pPr>
          </w:p>
        </w:tc>
      </w:tr>
      <w:tr w:rsidR="00CA01D5" w:rsidRPr="000C6203" w:rsidTr="00A2361A">
        <w:trPr>
          <w:trHeight w:val="552"/>
        </w:trPr>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CA01D5" w:rsidRPr="000C6203" w:rsidRDefault="00CA01D5" w:rsidP="00E348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1) lavori in amministrazione diretta previsti in progetto ed esclusi dall’appalto, ivi inclusi i rimborsi previa fattura (</w:t>
            </w:r>
            <w:r w:rsidRPr="000C6203">
              <w:rPr>
                <w:rFonts w:ascii="Arial" w:eastAsia="Times New Roman" w:hAnsi="Arial" w:cs="Arial"/>
                <w:i/>
                <w:color w:val="000000"/>
                <w:lang w:eastAsia="it-IT"/>
              </w:rPr>
              <w:t>nota 2</w:t>
            </w:r>
            <w:r w:rsidR="009D12E8">
              <w:rPr>
                <w:rFonts w:ascii="Arial" w:eastAsia="Times New Roman" w:hAnsi="Arial" w:cs="Arial"/>
                <w:i/>
                <w:color w:val="000000"/>
                <w:lang w:eastAsia="it-IT"/>
              </w:rPr>
              <w:t xml:space="preserve"> – nota 2 bis</w:t>
            </w:r>
            <w:r w:rsidRPr="000C6203">
              <w:rPr>
                <w:rFonts w:ascii="Arial" w:eastAsia="Times New Roman" w:hAnsi="Arial" w:cs="Arial"/>
                <w:color w:val="000000"/>
                <w:lang w:eastAsia="it-IT"/>
              </w:rPr>
              <w:t>)</w:t>
            </w:r>
          </w:p>
        </w:tc>
        <w:tc>
          <w:tcPr>
            <w:tcW w:w="1580" w:type="dxa"/>
            <w:tcBorders>
              <w:top w:val="nil"/>
              <w:left w:val="nil"/>
              <w:bottom w:val="single" w:sz="12" w:space="0" w:color="7F7F7F"/>
              <w:right w:val="single" w:sz="12" w:space="0" w:color="000000"/>
            </w:tcBorders>
            <w:shd w:val="clear" w:color="000000" w:fill="CCFFFF"/>
            <w:vAlign w:val="center"/>
            <w:hideMark/>
          </w:tcPr>
          <w:p w:rsidR="00CA01D5" w:rsidRPr="000C6203" w:rsidRDefault="00CA01D5" w:rsidP="00CA01D5">
            <w:pPr>
              <w:spacing w:after="0" w:line="240" w:lineRule="auto"/>
              <w:jc w:val="right"/>
              <w:rPr>
                <w:rFonts w:ascii="Arial" w:eastAsia="Times New Roman" w:hAnsi="Arial" w:cs="Arial"/>
                <w:b/>
                <w:bCs/>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jc w:val="right"/>
              <w:rPr>
                <w:rFonts w:ascii="Arial" w:eastAsia="Times New Roman" w:hAnsi="Arial" w:cs="Arial"/>
                <w:b/>
                <w:bCs/>
                <w:color w:val="000000"/>
                <w:lang w:eastAsia="it-IT"/>
              </w:rPr>
            </w:pPr>
          </w:p>
        </w:tc>
      </w:tr>
      <w:tr w:rsidR="00CA01D5" w:rsidRPr="000C6203" w:rsidTr="00A2361A">
        <w:trPr>
          <w:trHeight w:val="375"/>
        </w:trPr>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CA01D5" w:rsidRPr="000C6203" w:rsidRDefault="00CA01D5" w:rsidP="00E348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2) allacciamenti ai pubblici servizi e superamento eventuali interferenze</w:t>
            </w:r>
          </w:p>
        </w:tc>
        <w:tc>
          <w:tcPr>
            <w:tcW w:w="1580" w:type="dxa"/>
            <w:tcBorders>
              <w:top w:val="nil"/>
              <w:left w:val="nil"/>
              <w:bottom w:val="single" w:sz="12" w:space="0" w:color="7F7F7F"/>
              <w:right w:val="single" w:sz="12" w:space="0" w:color="000000"/>
            </w:tcBorders>
            <w:shd w:val="clear" w:color="000000" w:fill="CCFFFF"/>
            <w:vAlign w:val="center"/>
            <w:hideMark/>
          </w:tcPr>
          <w:p w:rsidR="00CA01D5" w:rsidRPr="000C6203" w:rsidRDefault="00CA01D5" w:rsidP="00CA01D5">
            <w:pPr>
              <w:spacing w:after="0" w:line="240" w:lineRule="auto"/>
              <w:jc w:val="right"/>
              <w:rPr>
                <w:rFonts w:ascii="Arial" w:eastAsia="Times New Roman" w:hAnsi="Arial" w:cs="Arial"/>
                <w:b/>
                <w:bCs/>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jc w:val="right"/>
              <w:rPr>
                <w:rFonts w:ascii="Arial" w:eastAsia="Times New Roman" w:hAnsi="Arial" w:cs="Arial"/>
                <w:b/>
                <w:bCs/>
                <w:color w:val="000000"/>
                <w:lang w:eastAsia="it-IT"/>
              </w:rPr>
            </w:pPr>
          </w:p>
        </w:tc>
      </w:tr>
      <w:tr w:rsidR="00CA01D5" w:rsidRPr="000C6203" w:rsidTr="00A2361A">
        <w:trPr>
          <w:trHeight w:val="375"/>
        </w:trPr>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CA01D5" w:rsidRPr="000C6203" w:rsidRDefault="00CA01D5" w:rsidP="00E348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3) imprevisti (</w:t>
            </w:r>
            <w:r w:rsidRPr="000C6203">
              <w:rPr>
                <w:rFonts w:ascii="Arial" w:eastAsia="Times New Roman" w:hAnsi="Arial" w:cs="Arial"/>
                <w:i/>
                <w:color w:val="000000"/>
                <w:lang w:eastAsia="it-IT"/>
              </w:rPr>
              <w:t>nota 2</w:t>
            </w:r>
            <w:r w:rsidRPr="000C6203">
              <w:rPr>
                <w:rFonts w:ascii="Arial" w:eastAsia="Times New Roman" w:hAnsi="Arial" w:cs="Arial"/>
                <w:color w:val="000000"/>
                <w:lang w:eastAsia="it-IT"/>
              </w:rPr>
              <w:t>)</w:t>
            </w:r>
          </w:p>
        </w:tc>
        <w:tc>
          <w:tcPr>
            <w:tcW w:w="1580" w:type="dxa"/>
            <w:tcBorders>
              <w:top w:val="nil"/>
              <w:left w:val="nil"/>
              <w:bottom w:val="single" w:sz="12" w:space="0" w:color="7F7F7F"/>
              <w:right w:val="single" w:sz="12" w:space="0" w:color="000000"/>
            </w:tcBorders>
            <w:shd w:val="clear" w:color="000000" w:fill="CCFFFF"/>
            <w:vAlign w:val="center"/>
            <w:hideMark/>
          </w:tcPr>
          <w:p w:rsidR="00CA01D5" w:rsidRPr="000C6203" w:rsidRDefault="00CA01D5" w:rsidP="00CA01D5">
            <w:pPr>
              <w:spacing w:after="0" w:line="240" w:lineRule="auto"/>
              <w:jc w:val="right"/>
              <w:rPr>
                <w:rFonts w:ascii="Arial" w:eastAsia="Times New Roman" w:hAnsi="Arial" w:cs="Arial"/>
                <w:b/>
                <w:bCs/>
                <w:color w:val="000000"/>
                <w:lang w:eastAsia="it-IT"/>
              </w:rPr>
            </w:pPr>
            <w:r w:rsidRPr="000C6203">
              <w:rPr>
                <w:rFonts w:ascii="Arial" w:eastAsia="Times New Roman" w:hAnsi="Arial" w:cs="Arial"/>
                <w:b/>
                <w:bCs/>
                <w:color w:val="000000"/>
                <w:lang w:eastAsia="it-IT"/>
              </w:rPr>
              <w:t> </w:t>
            </w:r>
          </w:p>
        </w:tc>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jc w:val="right"/>
              <w:rPr>
                <w:rFonts w:ascii="Arial" w:eastAsia="Times New Roman" w:hAnsi="Arial" w:cs="Arial"/>
                <w:b/>
                <w:bCs/>
                <w:color w:val="000000"/>
                <w:lang w:eastAsia="it-IT"/>
              </w:rPr>
            </w:pPr>
          </w:p>
        </w:tc>
      </w:tr>
      <w:tr w:rsidR="00CA01D5" w:rsidRPr="000C6203" w:rsidTr="00A2361A">
        <w:trPr>
          <w:trHeight w:val="552"/>
        </w:trPr>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CA01D5" w:rsidRPr="000C6203" w:rsidRDefault="00CA01D5" w:rsidP="00E348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4) accantonamenti in relazione alle modifiche di cui agli articoli 60 e 120, comma 1, lettera a), del Codice</w:t>
            </w:r>
          </w:p>
        </w:tc>
        <w:tc>
          <w:tcPr>
            <w:tcW w:w="1580" w:type="dxa"/>
            <w:tcBorders>
              <w:top w:val="nil"/>
              <w:left w:val="nil"/>
              <w:bottom w:val="single" w:sz="12" w:space="0" w:color="7F7F7F"/>
              <w:right w:val="single" w:sz="12" w:space="0" w:color="000000"/>
            </w:tcBorders>
            <w:shd w:val="clear" w:color="000000" w:fill="CCFFFF"/>
            <w:vAlign w:val="center"/>
            <w:hideMark/>
          </w:tcPr>
          <w:p w:rsidR="00CA01D5" w:rsidRPr="000C6203" w:rsidRDefault="00CA01D5" w:rsidP="00CA01D5">
            <w:pPr>
              <w:spacing w:after="0" w:line="240" w:lineRule="auto"/>
              <w:jc w:val="right"/>
              <w:rPr>
                <w:rFonts w:ascii="Arial" w:eastAsia="Times New Roman" w:hAnsi="Arial" w:cs="Arial"/>
                <w:b/>
                <w:bCs/>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jc w:val="right"/>
              <w:rPr>
                <w:rFonts w:ascii="Arial" w:eastAsia="Times New Roman" w:hAnsi="Arial" w:cs="Arial"/>
                <w:b/>
                <w:bCs/>
                <w:color w:val="000000"/>
                <w:lang w:eastAsia="it-IT"/>
              </w:rPr>
            </w:pPr>
          </w:p>
        </w:tc>
      </w:tr>
      <w:tr w:rsidR="00CA01D5" w:rsidRPr="000C6203" w:rsidTr="00A2361A">
        <w:trPr>
          <w:trHeight w:val="375"/>
        </w:trPr>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CA01D5" w:rsidRPr="000C6203" w:rsidRDefault="00CA01D5" w:rsidP="00E348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 xml:space="preserve">5) acquisizione </w:t>
            </w:r>
            <w:r w:rsidR="007377B3" w:rsidRPr="000C6203">
              <w:rPr>
                <w:rFonts w:ascii="Arial" w:eastAsia="Times New Roman" w:hAnsi="Arial" w:cs="Arial"/>
                <w:color w:val="000000"/>
                <w:lang w:eastAsia="it-IT"/>
              </w:rPr>
              <w:t xml:space="preserve">e/o espropriazioni di </w:t>
            </w:r>
            <w:r w:rsidRPr="000C6203">
              <w:rPr>
                <w:rFonts w:ascii="Arial" w:eastAsia="Times New Roman" w:hAnsi="Arial" w:cs="Arial"/>
                <w:color w:val="000000"/>
                <w:lang w:eastAsia="it-IT"/>
              </w:rPr>
              <w:t>aree o immobili, indennizzi (</w:t>
            </w:r>
            <w:r w:rsidRPr="000C6203">
              <w:rPr>
                <w:rFonts w:ascii="Arial" w:eastAsia="Times New Roman" w:hAnsi="Arial" w:cs="Arial"/>
                <w:i/>
                <w:color w:val="000000"/>
                <w:lang w:eastAsia="it-IT"/>
              </w:rPr>
              <w:t>nota 3</w:t>
            </w:r>
            <w:r w:rsidRPr="000C6203">
              <w:rPr>
                <w:rFonts w:ascii="Arial" w:eastAsia="Times New Roman" w:hAnsi="Arial" w:cs="Arial"/>
                <w:color w:val="000000"/>
                <w:lang w:eastAsia="it-IT"/>
              </w:rPr>
              <w:t>)</w:t>
            </w:r>
          </w:p>
        </w:tc>
        <w:tc>
          <w:tcPr>
            <w:tcW w:w="1580" w:type="dxa"/>
            <w:tcBorders>
              <w:top w:val="nil"/>
              <w:left w:val="nil"/>
              <w:bottom w:val="single" w:sz="12" w:space="0" w:color="7F7F7F"/>
              <w:right w:val="single" w:sz="12" w:space="0" w:color="000000"/>
            </w:tcBorders>
            <w:shd w:val="clear" w:color="000000" w:fill="CCFFFF"/>
            <w:vAlign w:val="center"/>
            <w:hideMark/>
          </w:tcPr>
          <w:p w:rsidR="00CA01D5" w:rsidRPr="000C6203" w:rsidRDefault="00CA01D5" w:rsidP="00CA01D5">
            <w:pPr>
              <w:spacing w:after="0" w:line="240" w:lineRule="auto"/>
              <w:jc w:val="right"/>
              <w:rPr>
                <w:rFonts w:ascii="Arial" w:eastAsia="Times New Roman" w:hAnsi="Arial" w:cs="Arial"/>
                <w:b/>
                <w:bCs/>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CA01D5" w:rsidRPr="000C6203" w:rsidRDefault="00CA01D5" w:rsidP="00CA01D5">
            <w:pPr>
              <w:spacing w:after="0" w:line="240" w:lineRule="auto"/>
              <w:jc w:val="right"/>
              <w:rPr>
                <w:rFonts w:ascii="Arial" w:eastAsia="Times New Roman" w:hAnsi="Arial" w:cs="Arial"/>
                <w:b/>
                <w:bCs/>
                <w:color w:val="000000"/>
                <w:lang w:eastAsia="it-IT"/>
              </w:rPr>
            </w:pPr>
          </w:p>
        </w:tc>
      </w:tr>
      <w:tr w:rsidR="00CA01D5" w:rsidRPr="000C6203" w:rsidTr="00A2361A">
        <w:trPr>
          <w:trHeight w:val="375"/>
        </w:trPr>
        <w:tc>
          <w:tcPr>
            <w:tcW w:w="960" w:type="dxa"/>
            <w:tcBorders>
              <w:top w:val="nil"/>
              <w:left w:val="nil"/>
              <w:bottom w:val="nil"/>
              <w:right w:val="nil"/>
            </w:tcBorders>
            <w:shd w:val="clear" w:color="auto" w:fill="auto"/>
            <w:noWrap/>
            <w:vAlign w:val="bottom"/>
          </w:tcPr>
          <w:p w:rsidR="00CA01D5" w:rsidRPr="000C6203" w:rsidRDefault="00CA01D5" w:rsidP="00CA01D5">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tcPr>
          <w:p w:rsidR="00CA01D5" w:rsidRPr="000C6203" w:rsidRDefault="00CA01D5" w:rsidP="00E348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 xml:space="preserve">6) spese per pubblicità e, ove previsto, </w:t>
            </w:r>
            <w:r w:rsidRPr="000C6203">
              <w:rPr>
                <w:rFonts w:ascii="Arial" w:hAnsi="Arial" w:cs="Arial"/>
              </w:rPr>
              <w:t>incluse</w:t>
            </w:r>
            <w:r w:rsidRPr="000C6203">
              <w:rPr>
                <w:rFonts w:ascii="Arial" w:hAnsi="Arial" w:cs="Arial"/>
                <w:spacing w:val="26"/>
              </w:rPr>
              <w:t xml:space="preserve"> </w:t>
            </w:r>
            <w:r w:rsidRPr="000C6203">
              <w:rPr>
                <w:rFonts w:ascii="Arial" w:hAnsi="Arial" w:cs="Arial"/>
              </w:rPr>
              <w:t>quelle</w:t>
            </w:r>
            <w:r w:rsidRPr="000C6203">
              <w:rPr>
                <w:rFonts w:ascii="Arial" w:hAnsi="Arial" w:cs="Arial"/>
                <w:spacing w:val="27"/>
              </w:rPr>
              <w:t xml:space="preserve"> </w:t>
            </w:r>
            <w:r w:rsidRPr="000C6203">
              <w:rPr>
                <w:rFonts w:ascii="Arial" w:hAnsi="Arial" w:cs="Arial"/>
              </w:rPr>
              <w:t>per</w:t>
            </w:r>
            <w:r w:rsidRPr="000C6203">
              <w:rPr>
                <w:rFonts w:ascii="Arial" w:hAnsi="Arial" w:cs="Arial"/>
                <w:spacing w:val="26"/>
              </w:rPr>
              <w:t xml:space="preserve"> </w:t>
            </w:r>
            <w:r w:rsidRPr="000C6203">
              <w:rPr>
                <w:rFonts w:ascii="Arial" w:hAnsi="Arial" w:cs="Arial"/>
              </w:rPr>
              <w:t>la</w:t>
            </w:r>
            <w:r w:rsidRPr="000C6203">
              <w:rPr>
                <w:rFonts w:ascii="Arial" w:hAnsi="Arial" w:cs="Arial"/>
                <w:spacing w:val="-47"/>
              </w:rPr>
              <w:t xml:space="preserve"> </w:t>
            </w:r>
            <w:r w:rsidRPr="000C6203">
              <w:rPr>
                <w:rFonts w:ascii="Arial" w:hAnsi="Arial" w:cs="Arial"/>
              </w:rPr>
              <w:t>realizzazione</w:t>
            </w:r>
            <w:r w:rsidRPr="000C6203">
              <w:rPr>
                <w:rFonts w:ascii="Arial" w:hAnsi="Arial" w:cs="Arial"/>
                <w:spacing w:val="32"/>
              </w:rPr>
              <w:t xml:space="preserve"> </w:t>
            </w:r>
            <w:r w:rsidRPr="000C6203">
              <w:rPr>
                <w:rFonts w:ascii="Arial" w:hAnsi="Arial" w:cs="Arial"/>
              </w:rPr>
              <w:t>ed</w:t>
            </w:r>
            <w:r w:rsidRPr="000C6203">
              <w:rPr>
                <w:rFonts w:ascii="Arial" w:hAnsi="Arial" w:cs="Arial"/>
                <w:spacing w:val="33"/>
              </w:rPr>
              <w:t xml:space="preserve"> </w:t>
            </w:r>
            <w:r w:rsidRPr="000C6203">
              <w:rPr>
                <w:rFonts w:ascii="Arial" w:hAnsi="Arial" w:cs="Arial"/>
              </w:rPr>
              <w:t>installazione</w:t>
            </w:r>
            <w:r w:rsidRPr="000C6203">
              <w:rPr>
                <w:rFonts w:ascii="Arial" w:hAnsi="Arial" w:cs="Arial"/>
                <w:spacing w:val="32"/>
              </w:rPr>
              <w:t xml:space="preserve"> </w:t>
            </w:r>
            <w:r w:rsidRPr="000C6203">
              <w:rPr>
                <w:rFonts w:ascii="Arial" w:hAnsi="Arial" w:cs="Arial"/>
              </w:rPr>
              <w:t>di</w:t>
            </w:r>
            <w:r w:rsidRPr="000C6203">
              <w:rPr>
                <w:rFonts w:ascii="Arial" w:hAnsi="Arial" w:cs="Arial"/>
                <w:spacing w:val="33"/>
              </w:rPr>
              <w:t xml:space="preserve"> </w:t>
            </w:r>
            <w:r w:rsidRPr="000C6203">
              <w:rPr>
                <w:rFonts w:ascii="Arial" w:hAnsi="Arial" w:cs="Arial"/>
              </w:rPr>
              <w:t>cartelloni</w:t>
            </w:r>
            <w:r w:rsidRPr="000C6203">
              <w:rPr>
                <w:rFonts w:ascii="Arial" w:hAnsi="Arial" w:cs="Arial"/>
                <w:spacing w:val="32"/>
              </w:rPr>
              <w:t xml:space="preserve"> </w:t>
            </w:r>
            <w:r w:rsidRPr="000C6203">
              <w:rPr>
                <w:rFonts w:ascii="Arial" w:hAnsi="Arial" w:cs="Arial"/>
              </w:rPr>
              <w:t>e</w:t>
            </w:r>
            <w:r w:rsidRPr="000C6203">
              <w:rPr>
                <w:rFonts w:ascii="Arial" w:hAnsi="Arial" w:cs="Arial"/>
                <w:spacing w:val="31"/>
              </w:rPr>
              <w:t xml:space="preserve"> </w:t>
            </w:r>
            <w:r w:rsidRPr="000C6203">
              <w:rPr>
                <w:rFonts w:ascii="Arial" w:hAnsi="Arial" w:cs="Arial"/>
              </w:rPr>
              <w:t>targhe</w:t>
            </w:r>
            <w:r w:rsidRPr="000C6203">
              <w:rPr>
                <w:rFonts w:ascii="Arial" w:hAnsi="Arial" w:cs="Arial"/>
                <w:spacing w:val="33"/>
              </w:rPr>
              <w:t xml:space="preserve"> </w:t>
            </w:r>
            <w:r w:rsidRPr="000C6203">
              <w:rPr>
                <w:rFonts w:ascii="Arial" w:hAnsi="Arial" w:cs="Arial"/>
              </w:rPr>
              <w:t>relative</w:t>
            </w:r>
            <w:r w:rsidRPr="000C6203">
              <w:rPr>
                <w:rFonts w:ascii="Arial" w:hAnsi="Arial" w:cs="Arial"/>
                <w:spacing w:val="32"/>
              </w:rPr>
              <w:t xml:space="preserve"> </w:t>
            </w:r>
            <w:r w:rsidRPr="000C6203">
              <w:rPr>
                <w:rFonts w:ascii="Arial" w:hAnsi="Arial" w:cs="Arial"/>
              </w:rPr>
              <w:t>al</w:t>
            </w:r>
            <w:r w:rsidRPr="000C6203">
              <w:rPr>
                <w:rFonts w:ascii="Arial" w:hAnsi="Arial" w:cs="Arial"/>
                <w:spacing w:val="32"/>
              </w:rPr>
              <w:t xml:space="preserve"> </w:t>
            </w:r>
            <w:r w:rsidRPr="000C6203">
              <w:rPr>
                <w:rFonts w:ascii="Arial" w:hAnsi="Arial" w:cs="Arial"/>
              </w:rPr>
              <w:t>PO</w:t>
            </w:r>
            <w:r w:rsidRPr="000C6203">
              <w:rPr>
                <w:rFonts w:ascii="Arial" w:hAnsi="Arial" w:cs="Arial"/>
                <w:spacing w:val="33"/>
              </w:rPr>
              <w:t xml:space="preserve"> </w:t>
            </w:r>
            <w:proofErr w:type="spellStart"/>
            <w:r w:rsidRPr="000C6203">
              <w:rPr>
                <w:rFonts w:ascii="Arial" w:hAnsi="Arial" w:cs="Arial"/>
              </w:rPr>
              <w:t>Fesr</w:t>
            </w:r>
            <w:proofErr w:type="spellEnd"/>
            <w:r w:rsidRPr="000C6203">
              <w:rPr>
                <w:rFonts w:ascii="Arial" w:hAnsi="Arial" w:cs="Arial"/>
                <w:spacing w:val="32"/>
              </w:rPr>
              <w:t xml:space="preserve"> </w:t>
            </w:r>
            <w:r w:rsidRPr="000C6203">
              <w:rPr>
                <w:rFonts w:ascii="Arial" w:hAnsi="Arial" w:cs="Arial"/>
              </w:rPr>
              <w:t>2014-2020 e/o POC Basilicata 2014-2020 (</w:t>
            </w:r>
            <w:r w:rsidRPr="000C6203">
              <w:rPr>
                <w:rFonts w:ascii="Arial" w:hAnsi="Arial" w:cs="Arial"/>
                <w:i/>
              </w:rPr>
              <w:t>nota</w:t>
            </w:r>
            <w:r w:rsidRPr="000C6203">
              <w:rPr>
                <w:rFonts w:ascii="Arial" w:hAnsi="Arial" w:cs="Arial"/>
                <w:i/>
                <w:spacing w:val="-1"/>
              </w:rPr>
              <w:t xml:space="preserve"> </w:t>
            </w:r>
            <w:r w:rsidRPr="000C6203">
              <w:rPr>
                <w:rFonts w:ascii="Arial" w:hAnsi="Arial" w:cs="Arial"/>
                <w:i/>
              </w:rPr>
              <w:t>4</w:t>
            </w:r>
            <w:r w:rsidRPr="000C6203">
              <w:rPr>
                <w:rFonts w:ascii="Arial" w:hAnsi="Arial" w:cs="Arial"/>
              </w:rPr>
              <w:t>)</w:t>
            </w:r>
          </w:p>
        </w:tc>
        <w:tc>
          <w:tcPr>
            <w:tcW w:w="1580" w:type="dxa"/>
            <w:tcBorders>
              <w:top w:val="nil"/>
              <w:left w:val="nil"/>
              <w:bottom w:val="single" w:sz="12" w:space="0" w:color="7F7F7F"/>
              <w:right w:val="single" w:sz="12" w:space="0" w:color="000000"/>
            </w:tcBorders>
            <w:shd w:val="clear" w:color="000000" w:fill="CCFFFF"/>
            <w:vAlign w:val="center"/>
          </w:tcPr>
          <w:p w:rsidR="00CA01D5" w:rsidRPr="000C6203" w:rsidRDefault="00CA01D5" w:rsidP="00CA01D5">
            <w:pPr>
              <w:spacing w:after="0" w:line="240" w:lineRule="auto"/>
              <w:jc w:val="right"/>
              <w:rPr>
                <w:rFonts w:ascii="Arial" w:eastAsia="Times New Roman" w:hAnsi="Arial" w:cs="Arial"/>
                <w:b/>
                <w:bCs/>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tcPr>
          <w:p w:rsidR="00CA01D5" w:rsidRPr="000C6203" w:rsidRDefault="00CA01D5" w:rsidP="00CA01D5">
            <w:pPr>
              <w:spacing w:after="0" w:line="240" w:lineRule="auto"/>
              <w:jc w:val="right"/>
              <w:rPr>
                <w:rFonts w:ascii="Arial" w:eastAsia="Times New Roman" w:hAnsi="Arial" w:cs="Arial"/>
                <w:b/>
                <w:bCs/>
                <w:color w:val="000000"/>
                <w:lang w:eastAsia="it-IT"/>
              </w:rPr>
            </w:pPr>
          </w:p>
        </w:tc>
      </w:tr>
      <w:tr w:rsidR="00C97E24" w:rsidRPr="000C6203" w:rsidTr="00A2361A">
        <w:trPr>
          <w:trHeight w:val="375"/>
        </w:trPr>
        <w:tc>
          <w:tcPr>
            <w:tcW w:w="960" w:type="dxa"/>
            <w:tcBorders>
              <w:top w:val="nil"/>
              <w:left w:val="nil"/>
              <w:bottom w:val="nil"/>
              <w:right w:val="nil"/>
            </w:tcBorders>
            <w:shd w:val="clear" w:color="auto" w:fill="auto"/>
            <w:noWrap/>
            <w:vAlign w:val="bottom"/>
          </w:tcPr>
          <w:p w:rsidR="00C97E24" w:rsidRPr="000C6203" w:rsidRDefault="00C97E24" w:rsidP="00C97E24">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tcPr>
          <w:p w:rsidR="00C97E24" w:rsidRPr="000C6203" w:rsidRDefault="00C97E24" w:rsidP="00E348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7) spese per la verifica preventiva dell’interesse archeologico, di cui all’articolo 41, comma 4, del Codice</w:t>
            </w:r>
          </w:p>
        </w:tc>
        <w:tc>
          <w:tcPr>
            <w:tcW w:w="1580" w:type="dxa"/>
            <w:tcBorders>
              <w:top w:val="nil"/>
              <w:left w:val="nil"/>
              <w:bottom w:val="single" w:sz="12" w:space="0" w:color="7F7F7F"/>
              <w:right w:val="single" w:sz="12" w:space="0" w:color="000000"/>
            </w:tcBorders>
            <w:shd w:val="clear" w:color="000000" w:fill="CCFFFF"/>
            <w:vAlign w:val="center"/>
          </w:tcPr>
          <w:p w:rsidR="00C97E24" w:rsidRPr="000C6203" w:rsidRDefault="00AD7C3E" w:rsidP="00C97E24">
            <w:pPr>
              <w:spacing w:after="0" w:line="240" w:lineRule="auto"/>
              <w:jc w:val="right"/>
              <w:rPr>
                <w:rFonts w:ascii="Arial" w:eastAsia="Times New Roman" w:hAnsi="Arial" w:cs="Arial"/>
                <w:b/>
                <w:bCs/>
                <w:i/>
                <w:iCs/>
                <w:color w:val="7F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tcPr>
          <w:p w:rsidR="00C97E24" w:rsidRPr="000C6203" w:rsidRDefault="00C97E24" w:rsidP="00C97E24">
            <w:pPr>
              <w:spacing w:after="0" w:line="240" w:lineRule="auto"/>
              <w:jc w:val="right"/>
              <w:rPr>
                <w:rFonts w:ascii="Arial" w:eastAsia="Times New Roman" w:hAnsi="Arial" w:cs="Arial"/>
                <w:b/>
                <w:bCs/>
                <w:color w:val="000000"/>
                <w:lang w:eastAsia="it-IT"/>
              </w:rPr>
            </w:pPr>
          </w:p>
        </w:tc>
      </w:tr>
      <w:tr w:rsidR="00C97E24" w:rsidRPr="000C6203" w:rsidTr="003673C9">
        <w:trPr>
          <w:trHeight w:val="416"/>
        </w:trPr>
        <w:tc>
          <w:tcPr>
            <w:tcW w:w="960" w:type="dxa"/>
            <w:tcBorders>
              <w:top w:val="nil"/>
              <w:left w:val="nil"/>
              <w:bottom w:val="nil"/>
              <w:right w:val="nil"/>
            </w:tcBorders>
            <w:shd w:val="clear" w:color="auto" w:fill="auto"/>
            <w:noWrap/>
            <w:vAlign w:val="bottom"/>
          </w:tcPr>
          <w:p w:rsidR="00C97E24" w:rsidRPr="000C6203" w:rsidRDefault="00C97E24" w:rsidP="00C97E24">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tcPr>
          <w:p w:rsidR="00C97E24" w:rsidRPr="000C6203" w:rsidRDefault="00C97E24" w:rsidP="00942805">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8) nei casi in cui sono previste, spese per le opere artistiche di cui alla legge 20 luglio 1949, n. 717.</w:t>
            </w:r>
            <w:r w:rsidR="00612BB6" w:rsidRPr="000C6203">
              <w:rPr>
                <w:rFonts w:ascii="Arial" w:eastAsia="Times New Roman" w:hAnsi="Arial" w:cs="Arial"/>
                <w:color w:val="000000"/>
                <w:lang w:eastAsia="it-IT"/>
              </w:rPr>
              <w:t xml:space="preserve"> (</w:t>
            </w:r>
            <w:r w:rsidR="00612BB6" w:rsidRPr="000C6203">
              <w:rPr>
                <w:rFonts w:ascii="Arial" w:eastAsia="Times New Roman" w:hAnsi="Arial" w:cs="Arial"/>
                <w:i/>
                <w:color w:val="000000"/>
                <w:lang w:eastAsia="it-IT"/>
              </w:rPr>
              <w:t>nota 5</w:t>
            </w:r>
            <w:r w:rsidR="00612BB6" w:rsidRPr="000C6203">
              <w:rPr>
                <w:rFonts w:ascii="Arial" w:eastAsia="Times New Roman" w:hAnsi="Arial" w:cs="Arial"/>
                <w:color w:val="000000"/>
                <w:lang w:eastAsia="it-IT"/>
              </w:rPr>
              <w:t>)</w:t>
            </w:r>
          </w:p>
        </w:tc>
        <w:tc>
          <w:tcPr>
            <w:tcW w:w="1580" w:type="dxa"/>
            <w:tcBorders>
              <w:top w:val="nil"/>
              <w:left w:val="nil"/>
              <w:bottom w:val="single" w:sz="12" w:space="0" w:color="7F7F7F"/>
              <w:right w:val="single" w:sz="12" w:space="0" w:color="000000"/>
            </w:tcBorders>
            <w:shd w:val="clear" w:color="000000" w:fill="CCFFFF"/>
            <w:vAlign w:val="center"/>
          </w:tcPr>
          <w:p w:rsidR="00C97E24" w:rsidRPr="000C6203" w:rsidRDefault="00C97E24" w:rsidP="00C97E24">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tcPr>
          <w:p w:rsidR="00C97E24" w:rsidRPr="000C6203" w:rsidRDefault="00C97E24" w:rsidP="00C97E24">
            <w:pPr>
              <w:spacing w:after="0" w:line="240" w:lineRule="auto"/>
              <w:jc w:val="right"/>
              <w:rPr>
                <w:rFonts w:ascii="Arial" w:eastAsia="Times New Roman" w:hAnsi="Arial" w:cs="Arial"/>
                <w:color w:val="000000"/>
                <w:lang w:eastAsia="it-IT"/>
              </w:rPr>
            </w:pPr>
          </w:p>
        </w:tc>
      </w:tr>
      <w:tr w:rsidR="000C6203" w:rsidRPr="000C6203" w:rsidTr="008F7805">
        <w:trPr>
          <w:trHeight w:val="416"/>
        </w:trPr>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tcPr>
          <w:p w:rsidR="000C6203" w:rsidRPr="000C6203" w:rsidRDefault="000C6203" w:rsidP="00E348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 xml:space="preserve">9) spese di cui agli articoli 2, comma 4 </w:t>
            </w:r>
            <w:r w:rsidRPr="000C6203">
              <w:rPr>
                <w:rFonts w:ascii="Arial" w:hAnsi="Arial" w:cs="Arial"/>
              </w:rPr>
              <w:t>e art. 5 dell’Allegato I.7</w:t>
            </w:r>
            <w:r w:rsidRPr="000C6203">
              <w:rPr>
                <w:rFonts w:ascii="Arial" w:hAnsi="Arial" w:cs="Arial"/>
                <w:spacing w:val="1"/>
              </w:rPr>
              <w:t xml:space="preserve"> </w:t>
            </w:r>
            <w:r w:rsidRPr="000C6203">
              <w:rPr>
                <w:rFonts w:ascii="Arial" w:eastAsia="Times New Roman" w:hAnsi="Arial" w:cs="Arial"/>
                <w:color w:val="000000"/>
                <w:lang w:eastAsia="it-IT"/>
              </w:rPr>
              <w:t>del Codice (assicurazione dei progettisti qualora dipendenti dell’Amministrazione) (</w:t>
            </w:r>
            <w:r w:rsidRPr="000C6203">
              <w:rPr>
                <w:rFonts w:ascii="Arial" w:eastAsia="Times New Roman" w:hAnsi="Arial" w:cs="Arial"/>
                <w:i/>
                <w:color w:val="000000"/>
                <w:lang w:eastAsia="it-IT"/>
              </w:rPr>
              <w:t>nota 6</w:t>
            </w:r>
            <w:r w:rsidRPr="000C6203">
              <w:rPr>
                <w:rFonts w:ascii="Arial" w:eastAsia="Times New Roman" w:hAnsi="Arial" w:cs="Arial"/>
                <w:color w:val="000000"/>
                <w:lang w:eastAsia="it-IT"/>
              </w:rPr>
              <w:t>)</w:t>
            </w:r>
          </w:p>
        </w:tc>
        <w:tc>
          <w:tcPr>
            <w:tcW w:w="1580" w:type="dxa"/>
            <w:tcBorders>
              <w:top w:val="nil"/>
              <w:left w:val="nil"/>
              <w:bottom w:val="single" w:sz="12" w:space="0" w:color="7F7F7F"/>
              <w:right w:val="single" w:sz="12" w:space="0" w:color="000000"/>
            </w:tcBorders>
            <w:shd w:val="clear" w:color="000000" w:fill="CCFFFF"/>
            <w:vAlign w:val="center"/>
          </w:tcPr>
          <w:p w:rsidR="000C6203" w:rsidRPr="000C6203" w:rsidRDefault="000C6203" w:rsidP="000C6203">
            <w:pPr>
              <w:spacing w:after="0" w:line="240" w:lineRule="auto"/>
              <w:jc w:val="right"/>
              <w:rPr>
                <w:rFonts w:ascii="Arial" w:eastAsia="Times New Roman" w:hAnsi="Arial" w:cs="Arial"/>
                <w:b/>
                <w:bCs/>
                <w:i/>
                <w:iCs/>
                <w:color w:val="7F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4D6446">
        <w:trPr>
          <w:trHeight w:val="400"/>
        </w:trPr>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tcPr>
          <w:p w:rsidR="000C6203" w:rsidRPr="000C6203" w:rsidRDefault="000C6203" w:rsidP="000C62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10) Spese connesse all’attuazione e gestione dell’appalto, di cui (</w:t>
            </w:r>
            <w:r w:rsidRPr="000C6203">
              <w:rPr>
                <w:rFonts w:ascii="Arial" w:eastAsia="Times New Roman" w:hAnsi="Arial" w:cs="Arial"/>
                <w:i/>
                <w:color w:val="000000"/>
                <w:lang w:eastAsia="it-IT"/>
              </w:rPr>
              <w:t>note 9 e 10</w:t>
            </w:r>
            <w:r w:rsidRPr="000C6203">
              <w:rPr>
                <w:rFonts w:ascii="Arial" w:eastAsia="Times New Roman" w:hAnsi="Arial" w:cs="Arial"/>
                <w:color w:val="000000"/>
                <w:lang w:eastAsia="it-IT"/>
              </w:rPr>
              <w:t>):</w:t>
            </w:r>
          </w:p>
        </w:tc>
        <w:tc>
          <w:tcPr>
            <w:tcW w:w="1580" w:type="dxa"/>
            <w:tcBorders>
              <w:top w:val="nil"/>
              <w:left w:val="nil"/>
              <w:bottom w:val="single" w:sz="12" w:space="0" w:color="7F7F7F"/>
              <w:right w:val="single" w:sz="12" w:space="0" w:color="000000"/>
            </w:tcBorders>
            <w:shd w:val="clear" w:color="000000" w:fill="CCFFFF"/>
            <w:vAlign w:val="center"/>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B86987">
        <w:trPr>
          <w:trHeight w:val="534"/>
        </w:trPr>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tcPr>
          <w:p w:rsidR="000C6203" w:rsidRPr="000C6203" w:rsidRDefault="000C6203" w:rsidP="00E34803">
            <w:pPr>
              <w:spacing w:after="0" w:line="240" w:lineRule="auto"/>
              <w:ind w:left="244"/>
              <w:jc w:val="both"/>
              <w:rPr>
                <w:rFonts w:ascii="Arial" w:eastAsia="Times New Roman" w:hAnsi="Arial" w:cs="Arial"/>
                <w:color w:val="000000"/>
                <w:lang w:eastAsia="it-IT"/>
              </w:rPr>
            </w:pPr>
            <w:r w:rsidRPr="000C6203">
              <w:rPr>
                <w:rFonts w:ascii="Arial" w:eastAsia="Times New Roman" w:hAnsi="Arial" w:cs="Arial"/>
                <w:color w:val="000000"/>
                <w:lang w:eastAsia="it-IT"/>
              </w:rPr>
              <w:t>a</w:t>
            </w:r>
            <w:r w:rsidRPr="000C6203" w:rsidDel="006767F1">
              <w:rPr>
                <w:rFonts w:ascii="Arial" w:eastAsia="Times New Roman" w:hAnsi="Arial" w:cs="Arial"/>
                <w:color w:val="000000"/>
                <w:lang w:eastAsia="it-IT"/>
              </w:rPr>
              <w:t>) rilievi, accertamenti e indagini da eseguire ai diversi livelli di progettazione a cura della stazione appaltante</w:t>
            </w:r>
          </w:p>
        </w:tc>
        <w:tc>
          <w:tcPr>
            <w:tcW w:w="1580" w:type="dxa"/>
            <w:tcBorders>
              <w:top w:val="nil"/>
              <w:left w:val="nil"/>
              <w:bottom w:val="single" w:sz="12" w:space="0" w:color="7F7F7F"/>
              <w:right w:val="single" w:sz="12" w:space="0" w:color="000000"/>
            </w:tcBorders>
            <w:shd w:val="clear" w:color="000000" w:fill="CCFFFF"/>
            <w:vAlign w:val="center"/>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111496">
        <w:trPr>
          <w:trHeight w:val="544"/>
        </w:trPr>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000000"/>
              <w:right w:val="single" w:sz="12" w:space="0" w:color="7F7F7F"/>
            </w:tcBorders>
            <w:shd w:val="clear" w:color="auto" w:fill="auto"/>
            <w:vAlign w:val="center"/>
          </w:tcPr>
          <w:p w:rsidR="000C6203" w:rsidRPr="000C6203" w:rsidRDefault="000C6203" w:rsidP="00E34803">
            <w:pPr>
              <w:spacing w:after="0" w:line="240" w:lineRule="auto"/>
              <w:ind w:left="244"/>
              <w:jc w:val="both"/>
              <w:rPr>
                <w:rFonts w:ascii="Arial" w:eastAsia="Times New Roman" w:hAnsi="Arial" w:cs="Arial"/>
                <w:color w:val="000000"/>
                <w:lang w:eastAsia="it-IT"/>
              </w:rPr>
            </w:pPr>
            <w:r w:rsidRPr="000C6203">
              <w:rPr>
                <w:rFonts w:ascii="Arial" w:eastAsia="Times New Roman" w:hAnsi="Arial" w:cs="Arial"/>
                <w:color w:val="000000"/>
                <w:lang w:eastAsia="it-IT"/>
              </w:rPr>
              <w:t>b</w:t>
            </w:r>
            <w:r w:rsidRPr="000C6203" w:rsidDel="006767F1">
              <w:rPr>
                <w:rFonts w:ascii="Arial" w:eastAsia="Times New Roman" w:hAnsi="Arial" w:cs="Arial"/>
                <w:color w:val="000000"/>
                <w:lang w:eastAsia="it-IT"/>
              </w:rPr>
              <w:t>) rilievi, accertamenti e indagini da eseguire ai diversi livelli di progettazione a cura del progettista</w:t>
            </w:r>
          </w:p>
        </w:tc>
        <w:tc>
          <w:tcPr>
            <w:tcW w:w="1580" w:type="dxa"/>
            <w:tcBorders>
              <w:top w:val="nil"/>
              <w:left w:val="nil"/>
              <w:bottom w:val="single" w:sz="12" w:space="0" w:color="000000"/>
              <w:right w:val="single" w:sz="12" w:space="0" w:color="000000"/>
            </w:tcBorders>
            <w:shd w:val="clear" w:color="000000" w:fill="CCFFFF"/>
            <w:vAlign w:val="center"/>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111496">
        <w:trPr>
          <w:trHeight w:val="1808"/>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0C6203" w:rsidRPr="000C6203" w:rsidRDefault="000C6203" w:rsidP="00E34803">
            <w:pPr>
              <w:spacing w:after="0" w:line="240" w:lineRule="auto"/>
              <w:ind w:left="244"/>
              <w:jc w:val="both"/>
              <w:rPr>
                <w:rFonts w:ascii="Arial" w:eastAsia="Times New Roman" w:hAnsi="Arial" w:cs="Arial"/>
                <w:color w:val="000000"/>
                <w:lang w:eastAsia="it-IT"/>
              </w:rPr>
            </w:pPr>
            <w:r w:rsidRPr="000C6203">
              <w:rPr>
                <w:rFonts w:ascii="Arial" w:eastAsia="Times New Roman" w:hAnsi="Arial" w:cs="Arial"/>
                <w:color w:val="000000"/>
                <w:lang w:eastAsia="it-IT"/>
              </w:rPr>
              <w:t xml:space="preserve">c) spese tecniche relative alla progettazione, alle attività preliminari, ivi compreso l’eventuale monitoraggio di parametri necessari ai fini della progettazione ove pertinente, al coordinamento della sicurezza in fase di progettazione, alle conferenze dei servizi, alla direzione lavori e al coordinamento della sicurezza in fase di esecuzione, all’assistenza giornaliera e contabilità, assistenza ai collaudi </w:t>
            </w:r>
          </w:p>
        </w:tc>
        <w:tc>
          <w:tcPr>
            <w:tcW w:w="1580" w:type="dxa"/>
            <w:tcBorders>
              <w:top w:val="single" w:sz="12" w:space="0" w:color="000000"/>
              <w:left w:val="single" w:sz="12" w:space="0" w:color="000000"/>
              <w:bottom w:val="single" w:sz="12" w:space="0" w:color="000000"/>
              <w:right w:val="single" w:sz="12" w:space="0" w:color="000000"/>
            </w:tcBorders>
            <w:shd w:val="clear" w:color="000000" w:fill="CCFFFF"/>
            <w:vAlign w:val="center"/>
            <w:hideMark/>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111496">
        <w:trPr>
          <w:trHeight w:val="855"/>
        </w:trPr>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single" w:sz="12" w:space="0" w:color="000000"/>
              <w:left w:val="single" w:sz="12" w:space="0" w:color="000000"/>
              <w:bottom w:val="single" w:sz="12" w:space="0" w:color="7F7F7F"/>
              <w:right w:val="single" w:sz="12" w:space="0" w:color="7F7F7F"/>
            </w:tcBorders>
            <w:shd w:val="clear" w:color="auto" w:fill="auto"/>
            <w:vAlign w:val="center"/>
          </w:tcPr>
          <w:p w:rsidR="000C6203" w:rsidRPr="000C6203" w:rsidDel="00971BD7" w:rsidRDefault="000C6203" w:rsidP="00E34803">
            <w:pPr>
              <w:spacing w:after="0" w:line="240" w:lineRule="auto"/>
              <w:ind w:left="244"/>
              <w:jc w:val="both"/>
              <w:rPr>
                <w:rFonts w:ascii="Arial" w:eastAsia="Times New Roman" w:hAnsi="Arial" w:cs="Arial"/>
                <w:color w:val="000000"/>
                <w:lang w:eastAsia="it-IT"/>
              </w:rPr>
            </w:pPr>
            <w:r w:rsidRPr="000C6203">
              <w:rPr>
                <w:rFonts w:ascii="Arial" w:eastAsia="Times New Roman" w:hAnsi="Arial" w:cs="Arial"/>
                <w:color w:val="000000"/>
                <w:lang w:eastAsia="it-IT"/>
              </w:rPr>
              <w:t>d) importo relativo all’incentivo di cui all’articolo 45 del Codice, nella misura corrispondente alle prestazioni che dovranno essere svolte dal personale dipendente (</w:t>
            </w:r>
            <w:r w:rsidRPr="000C6203">
              <w:rPr>
                <w:rFonts w:ascii="Arial" w:eastAsia="Times New Roman" w:hAnsi="Arial" w:cs="Arial"/>
                <w:i/>
                <w:color w:val="000000"/>
                <w:lang w:eastAsia="it-IT"/>
              </w:rPr>
              <w:t>nota 7</w:t>
            </w:r>
            <w:r w:rsidRPr="000C6203">
              <w:rPr>
                <w:rFonts w:ascii="Arial" w:eastAsia="Times New Roman" w:hAnsi="Arial" w:cs="Arial"/>
                <w:color w:val="000000"/>
                <w:lang w:eastAsia="it-IT"/>
              </w:rPr>
              <w:t>)</w:t>
            </w:r>
          </w:p>
        </w:tc>
        <w:tc>
          <w:tcPr>
            <w:tcW w:w="1580" w:type="dxa"/>
            <w:tcBorders>
              <w:top w:val="single" w:sz="12" w:space="0" w:color="000000"/>
              <w:left w:val="nil"/>
              <w:bottom w:val="single" w:sz="12" w:space="0" w:color="7F7F7F"/>
              <w:right w:val="single" w:sz="12" w:space="0" w:color="000000"/>
            </w:tcBorders>
            <w:shd w:val="clear" w:color="auto" w:fill="C9E4FF"/>
            <w:vAlign w:val="center"/>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C05053">
        <w:trPr>
          <w:trHeight w:val="1251"/>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0C6203" w:rsidRPr="000C6203" w:rsidRDefault="000C6203" w:rsidP="00E34803">
            <w:pPr>
              <w:tabs>
                <w:tab w:val="left" w:pos="386"/>
              </w:tabs>
              <w:spacing w:after="0" w:line="240" w:lineRule="auto"/>
              <w:ind w:left="244"/>
              <w:jc w:val="both"/>
              <w:rPr>
                <w:rFonts w:ascii="Arial" w:eastAsia="Times New Roman" w:hAnsi="Arial" w:cs="Arial"/>
                <w:color w:val="000000"/>
                <w:lang w:eastAsia="it-IT"/>
              </w:rPr>
            </w:pPr>
            <w:r w:rsidRPr="000C6203">
              <w:rPr>
                <w:rFonts w:ascii="Arial" w:eastAsia="Times New Roman" w:hAnsi="Arial" w:cs="Arial"/>
                <w:color w:val="000000"/>
                <w:lang w:eastAsia="it-IT"/>
              </w:rPr>
              <w:t>e) spese per attività tecnico-amministrative e strumentali connesse alla progettazione, di supporto al RUP qualora si tratti di personale dipendente, nonché per la verifica preventiva della progettazione ai sensi dell’articolo 42 del Codice</w:t>
            </w:r>
          </w:p>
        </w:tc>
        <w:tc>
          <w:tcPr>
            <w:tcW w:w="1580" w:type="dxa"/>
            <w:tcBorders>
              <w:top w:val="nil"/>
              <w:left w:val="nil"/>
              <w:bottom w:val="single" w:sz="12" w:space="0" w:color="7F7F7F"/>
              <w:right w:val="single" w:sz="12" w:space="0" w:color="000000"/>
            </w:tcBorders>
            <w:shd w:val="clear" w:color="000000" w:fill="CCFFFF"/>
            <w:vAlign w:val="center"/>
            <w:hideMark/>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A2361A">
        <w:trPr>
          <w:trHeight w:val="375"/>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0C6203" w:rsidRPr="000C6203" w:rsidRDefault="000C6203" w:rsidP="00E34803">
            <w:pPr>
              <w:spacing w:after="0" w:line="240" w:lineRule="auto"/>
              <w:ind w:left="244"/>
              <w:jc w:val="both"/>
              <w:rPr>
                <w:rFonts w:ascii="Arial" w:eastAsia="Times New Roman" w:hAnsi="Arial" w:cs="Arial"/>
                <w:color w:val="000000"/>
                <w:lang w:eastAsia="it-IT"/>
              </w:rPr>
            </w:pPr>
            <w:r w:rsidRPr="000C6203">
              <w:rPr>
                <w:rFonts w:ascii="Arial" w:eastAsia="Times New Roman" w:hAnsi="Arial" w:cs="Arial"/>
                <w:color w:val="000000"/>
                <w:lang w:eastAsia="it-IT"/>
              </w:rPr>
              <w:t>f) eventuali spese per commissioni giudicatrici</w:t>
            </w:r>
          </w:p>
        </w:tc>
        <w:tc>
          <w:tcPr>
            <w:tcW w:w="1580" w:type="dxa"/>
            <w:tcBorders>
              <w:top w:val="nil"/>
              <w:left w:val="nil"/>
              <w:bottom w:val="single" w:sz="12" w:space="0" w:color="7F7F7F"/>
              <w:right w:val="single" w:sz="12" w:space="0" w:color="000000"/>
            </w:tcBorders>
            <w:shd w:val="clear" w:color="000000" w:fill="CCFFFF"/>
            <w:vAlign w:val="center"/>
            <w:hideMark/>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A2361A">
        <w:trPr>
          <w:trHeight w:val="1080"/>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0C6203" w:rsidRPr="000C6203" w:rsidRDefault="000C6203" w:rsidP="00E34803">
            <w:pPr>
              <w:spacing w:after="0" w:line="240" w:lineRule="auto"/>
              <w:ind w:left="214"/>
              <w:jc w:val="both"/>
              <w:rPr>
                <w:rFonts w:ascii="Arial" w:eastAsia="Times New Roman" w:hAnsi="Arial" w:cs="Arial"/>
                <w:color w:val="000000"/>
                <w:lang w:eastAsia="it-IT"/>
              </w:rPr>
            </w:pPr>
            <w:r w:rsidRPr="000C6203">
              <w:rPr>
                <w:rFonts w:ascii="Arial" w:eastAsia="Times New Roman" w:hAnsi="Arial" w:cs="Arial"/>
                <w:color w:val="000000"/>
                <w:lang w:eastAsia="it-IT"/>
              </w:rPr>
              <w:t>g) spese per prove di laboratorio, accertamenti e verifiche tecniche obbligatorie o specificamente previste dal capitolato speciale d’appalto, di cui all’articolo 116 comma 11, del Codice, nonché per l’eventuale monitoraggio successivo alla realizzazione dell’opera, ove prescritto</w:t>
            </w:r>
          </w:p>
        </w:tc>
        <w:tc>
          <w:tcPr>
            <w:tcW w:w="1580" w:type="dxa"/>
            <w:tcBorders>
              <w:top w:val="nil"/>
              <w:left w:val="nil"/>
              <w:bottom w:val="single" w:sz="12" w:space="0" w:color="7F7F7F"/>
              <w:right w:val="single" w:sz="12" w:space="0" w:color="000000"/>
            </w:tcBorders>
            <w:shd w:val="clear" w:color="000000" w:fill="CCFFFF"/>
            <w:vAlign w:val="center"/>
            <w:hideMark/>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A2361A">
        <w:trPr>
          <w:trHeight w:val="552"/>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0C6203" w:rsidRPr="000C6203" w:rsidRDefault="000C6203" w:rsidP="00E34803">
            <w:pPr>
              <w:spacing w:after="0" w:line="240" w:lineRule="auto"/>
              <w:ind w:left="214"/>
              <w:jc w:val="both"/>
              <w:rPr>
                <w:rFonts w:ascii="Arial" w:eastAsia="Times New Roman" w:hAnsi="Arial" w:cs="Arial"/>
                <w:color w:val="000000"/>
                <w:lang w:eastAsia="it-IT"/>
              </w:rPr>
            </w:pPr>
            <w:r w:rsidRPr="000C6203">
              <w:rPr>
                <w:rFonts w:ascii="Arial" w:eastAsia="Times New Roman" w:hAnsi="Arial" w:cs="Arial"/>
                <w:color w:val="000000"/>
                <w:lang w:eastAsia="it-IT"/>
              </w:rPr>
              <w:t>h) spese per collaudo tecnico-amministrativo, collaudo statico e altri eventuali collaudi specialistici</w:t>
            </w:r>
          </w:p>
        </w:tc>
        <w:tc>
          <w:tcPr>
            <w:tcW w:w="1580" w:type="dxa"/>
            <w:tcBorders>
              <w:top w:val="nil"/>
              <w:left w:val="nil"/>
              <w:bottom w:val="single" w:sz="12" w:space="0" w:color="7F7F7F"/>
              <w:right w:val="single" w:sz="12" w:space="0" w:color="000000"/>
            </w:tcBorders>
            <w:shd w:val="clear" w:color="000000" w:fill="CCFFFF"/>
            <w:vAlign w:val="center"/>
            <w:hideMark/>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A2361A">
        <w:trPr>
          <w:trHeight w:val="375"/>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0C6203" w:rsidRPr="000C6203" w:rsidRDefault="000C6203" w:rsidP="00E34803">
            <w:pPr>
              <w:spacing w:after="0" w:line="240" w:lineRule="auto"/>
              <w:ind w:left="214"/>
              <w:jc w:val="both"/>
              <w:rPr>
                <w:rFonts w:ascii="Arial" w:eastAsia="Times New Roman" w:hAnsi="Arial" w:cs="Arial"/>
                <w:color w:val="000000"/>
                <w:lang w:eastAsia="it-IT"/>
              </w:rPr>
            </w:pPr>
            <w:r w:rsidRPr="000C6203">
              <w:rPr>
                <w:rFonts w:ascii="Arial" w:eastAsia="Times New Roman" w:hAnsi="Arial" w:cs="Arial"/>
                <w:color w:val="000000"/>
                <w:lang w:eastAsia="it-IT"/>
              </w:rPr>
              <w:t>i) spese per i rimedi alternativi alla tutela giurisdizionale (</w:t>
            </w:r>
            <w:r w:rsidRPr="000C6203">
              <w:rPr>
                <w:rFonts w:ascii="Arial" w:eastAsia="Times New Roman" w:hAnsi="Arial" w:cs="Arial"/>
                <w:i/>
                <w:color w:val="000000"/>
                <w:lang w:eastAsia="it-IT"/>
              </w:rPr>
              <w:t>nota 8</w:t>
            </w:r>
            <w:r w:rsidRPr="000C6203">
              <w:rPr>
                <w:rFonts w:ascii="Arial" w:eastAsia="Times New Roman" w:hAnsi="Arial" w:cs="Arial"/>
                <w:color w:val="000000"/>
                <w:lang w:eastAsia="it-IT"/>
              </w:rPr>
              <w:t>)</w:t>
            </w:r>
          </w:p>
        </w:tc>
        <w:tc>
          <w:tcPr>
            <w:tcW w:w="1580" w:type="dxa"/>
            <w:tcBorders>
              <w:top w:val="nil"/>
              <w:left w:val="nil"/>
              <w:bottom w:val="single" w:sz="12" w:space="0" w:color="7F7F7F"/>
              <w:right w:val="single" w:sz="12" w:space="0" w:color="000000"/>
            </w:tcBorders>
            <w:shd w:val="clear" w:color="000000" w:fill="CCFFFF"/>
            <w:vAlign w:val="center"/>
            <w:hideMark/>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A2361A">
        <w:trPr>
          <w:trHeight w:val="552"/>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0C6203" w:rsidRPr="000C6203" w:rsidRDefault="000C6203" w:rsidP="00E34803">
            <w:pPr>
              <w:spacing w:after="0" w:line="240" w:lineRule="auto"/>
              <w:ind w:left="244" w:hanging="58"/>
              <w:jc w:val="both"/>
              <w:rPr>
                <w:rFonts w:ascii="Arial" w:eastAsia="Times New Roman" w:hAnsi="Arial" w:cs="Arial"/>
                <w:color w:val="000000"/>
                <w:lang w:eastAsia="it-IT"/>
              </w:rPr>
            </w:pPr>
            <w:r w:rsidRPr="000C6203">
              <w:rPr>
                <w:rFonts w:ascii="Arial" w:eastAsia="Times New Roman" w:hAnsi="Arial" w:cs="Arial"/>
                <w:color w:val="000000"/>
                <w:lang w:eastAsia="it-IT"/>
              </w:rPr>
              <w:t>l) I.V.A. sulle spese connesse all’attuazione e gestione dell’appalto</w:t>
            </w:r>
          </w:p>
        </w:tc>
        <w:tc>
          <w:tcPr>
            <w:tcW w:w="1580" w:type="dxa"/>
            <w:tcBorders>
              <w:top w:val="nil"/>
              <w:left w:val="nil"/>
              <w:bottom w:val="single" w:sz="12" w:space="0" w:color="7F7F7F"/>
              <w:right w:val="single" w:sz="12" w:space="0" w:color="000000"/>
            </w:tcBorders>
            <w:shd w:val="clear" w:color="000000" w:fill="CCFFFF"/>
            <w:vAlign w:val="center"/>
            <w:hideMark/>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r w:rsidRPr="000C6203">
              <w:rPr>
                <w:rFonts w:ascii="Arial" w:eastAsia="Times New Roman" w:hAnsi="Arial" w:cs="Arial"/>
                <w:color w:val="000000"/>
                <w:lang w:eastAsia="it-IT"/>
              </w:rPr>
              <w:t> </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A2361A">
        <w:trPr>
          <w:trHeight w:val="315"/>
        </w:trPr>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tcPr>
          <w:p w:rsidR="000C6203" w:rsidRPr="000C6203" w:rsidRDefault="000C6203" w:rsidP="000C6203">
            <w:pPr>
              <w:spacing w:after="0" w:line="240" w:lineRule="auto"/>
              <w:jc w:val="both"/>
              <w:rPr>
                <w:rFonts w:ascii="Arial" w:eastAsia="Times New Roman" w:hAnsi="Arial" w:cs="Arial"/>
                <w:color w:val="000000"/>
                <w:lang w:eastAsia="it-IT"/>
              </w:rPr>
            </w:pPr>
            <w:r w:rsidRPr="000C6203">
              <w:rPr>
                <w:rFonts w:ascii="Arial" w:hAnsi="Arial" w:cs="Arial"/>
              </w:rPr>
              <w:t>Totale</w:t>
            </w:r>
            <w:r w:rsidRPr="000C6203">
              <w:rPr>
                <w:rFonts w:ascii="Arial" w:hAnsi="Arial" w:cs="Arial"/>
                <w:spacing w:val="-4"/>
              </w:rPr>
              <w:t xml:space="preserve"> </w:t>
            </w:r>
            <w:r w:rsidRPr="000C6203">
              <w:rPr>
                <w:rFonts w:ascii="Arial" w:hAnsi="Arial" w:cs="Arial"/>
              </w:rPr>
              <w:t>“Spese</w:t>
            </w:r>
            <w:r w:rsidRPr="000C6203">
              <w:rPr>
                <w:rFonts w:ascii="Arial" w:hAnsi="Arial" w:cs="Arial"/>
                <w:spacing w:val="-4"/>
              </w:rPr>
              <w:t xml:space="preserve"> </w:t>
            </w:r>
            <w:r w:rsidRPr="000C6203">
              <w:rPr>
                <w:rFonts w:ascii="Arial" w:hAnsi="Arial" w:cs="Arial"/>
              </w:rPr>
              <w:t>connesse</w:t>
            </w:r>
            <w:r w:rsidRPr="000C6203">
              <w:rPr>
                <w:rFonts w:ascii="Arial" w:hAnsi="Arial" w:cs="Arial"/>
                <w:spacing w:val="-4"/>
              </w:rPr>
              <w:t xml:space="preserve"> </w:t>
            </w:r>
            <w:r w:rsidRPr="000C6203">
              <w:rPr>
                <w:rFonts w:ascii="Arial" w:hAnsi="Arial" w:cs="Arial"/>
              </w:rPr>
              <w:t>all’attuazione</w:t>
            </w:r>
            <w:r w:rsidRPr="000C6203">
              <w:rPr>
                <w:rFonts w:ascii="Arial" w:hAnsi="Arial" w:cs="Arial"/>
                <w:spacing w:val="-4"/>
              </w:rPr>
              <w:t xml:space="preserve"> </w:t>
            </w:r>
            <w:r w:rsidRPr="000C6203">
              <w:rPr>
                <w:rFonts w:ascii="Arial" w:hAnsi="Arial" w:cs="Arial"/>
              </w:rPr>
              <w:t>e</w:t>
            </w:r>
            <w:r w:rsidRPr="000C6203">
              <w:rPr>
                <w:rFonts w:ascii="Arial" w:hAnsi="Arial" w:cs="Arial"/>
                <w:spacing w:val="-1"/>
              </w:rPr>
              <w:t xml:space="preserve"> </w:t>
            </w:r>
            <w:r w:rsidRPr="000C6203">
              <w:rPr>
                <w:rFonts w:ascii="Arial" w:hAnsi="Arial" w:cs="Arial"/>
              </w:rPr>
              <w:t>gestione</w:t>
            </w:r>
            <w:r w:rsidRPr="000C6203">
              <w:rPr>
                <w:rFonts w:ascii="Arial" w:hAnsi="Arial" w:cs="Arial"/>
                <w:spacing w:val="-1"/>
              </w:rPr>
              <w:t xml:space="preserve"> </w:t>
            </w:r>
            <w:r w:rsidRPr="000C6203">
              <w:rPr>
                <w:rFonts w:ascii="Arial" w:hAnsi="Arial" w:cs="Arial"/>
              </w:rPr>
              <w:t>dell’appalto”</w:t>
            </w:r>
            <w:r w:rsidRPr="000C6203">
              <w:rPr>
                <w:rFonts w:ascii="Arial" w:hAnsi="Arial" w:cs="Arial"/>
                <w:spacing w:val="-4"/>
              </w:rPr>
              <w:t xml:space="preserve"> </w:t>
            </w:r>
            <w:r w:rsidRPr="000C6203">
              <w:rPr>
                <w:rFonts w:ascii="Arial" w:hAnsi="Arial" w:cs="Arial"/>
              </w:rPr>
              <w:t>(</w:t>
            </w:r>
            <w:proofErr w:type="spellStart"/>
            <w:r w:rsidRPr="000C6203">
              <w:rPr>
                <w:rFonts w:ascii="Arial" w:hAnsi="Arial" w:cs="Arial"/>
              </w:rPr>
              <w:t>a+b+c+d+e+f+g+h+i+l</w:t>
            </w:r>
            <w:proofErr w:type="spellEnd"/>
            <w:r w:rsidRPr="000C6203">
              <w:rPr>
                <w:rFonts w:ascii="Arial" w:hAnsi="Arial" w:cs="Arial"/>
              </w:rPr>
              <w:t>)</w:t>
            </w:r>
          </w:p>
        </w:tc>
        <w:tc>
          <w:tcPr>
            <w:tcW w:w="1580" w:type="dxa"/>
            <w:tcBorders>
              <w:top w:val="nil"/>
              <w:left w:val="nil"/>
              <w:bottom w:val="single" w:sz="12" w:space="0" w:color="7F7F7F"/>
              <w:right w:val="single" w:sz="12" w:space="0" w:color="000000"/>
            </w:tcBorders>
            <w:shd w:val="clear" w:color="000000" w:fill="CCFFFF"/>
            <w:vAlign w:val="center"/>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A2361A">
        <w:trPr>
          <w:trHeight w:val="315"/>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0C6203" w:rsidRPr="000C6203" w:rsidRDefault="000C6203" w:rsidP="000C62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11) I.V.A. sui lavori</w:t>
            </w:r>
          </w:p>
        </w:tc>
        <w:tc>
          <w:tcPr>
            <w:tcW w:w="1580" w:type="dxa"/>
            <w:tcBorders>
              <w:top w:val="nil"/>
              <w:left w:val="nil"/>
              <w:bottom w:val="single" w:sz="12" w:space="0" w:color="7F7F7F"/>
              <w:right w:val="single" w:sz="12" w:space="0" w:color="000000"/>
            </w:tcBorders>
            <w:shd w:val="clear" w:color="000000" w:fill="CCFFFF"/>
            <w:vAlign w:val="center"/>
            <w:hideMark/>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A2361A">
        <w:trPr>
          <w:trHeight w:val="645"/>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0C6203" w:rsidRPr="000C6203" w:rsidRDefault="000C6203" w:rsidP="000C62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12) I.V.A. sulle altre voci delle somme a disposizione della stazione appaltante</w:t>
            </w:r>
          </w:p>
        </w:tc>
        <w:tc>
          <w:tcPr>
            <w:tcW w:w="1580" w:type="dxa"/>
            <w:tcBorders>
              <w:top w:val="nil"/>
              <w:left w:val="nil"/>
              <w:bottom w:val="single" w:sz="12" w:space="0" w:color="7F7F7F"/>
              <w:right w:val="single" w:sz="12" w:space="0" w:color="000000"/>
            </w:tcBorders>
            <w:shd w:val="clear" w:color="000000" w:fill="CCFFFF"/>
            <w:vAlign w:val="center"/>
            <w:hideMark/>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A2361A">
        <w:trPr>
          <w:trHeight w:val="375"/>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0C6203" w:rsidRPr="000C6203" w:rsidRDefault="000C6203" w:rsidP="000C62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13) Eventuali altre imposte e contributi dovuti per legge (</w:t>
            </w:r>
            <w:r w:rsidRPr="000C6203">
              <w:rPr>
                <w:rFonts w:ascii="Arial" w:eastAsia="Times New Roman" w:hAnsi="Arial" w:cs="Arial"/>
                <w:i/>
                <w:color w:val="000000"/>
                <w:lang w:eastAsia="it-IT"/>
              </w:rPr>
              <w:t>nota 11</w:t>
            </w:r>
            <w:r w:rsidRPr="000C6203">
              <w:rPr>
                <w:rFonts w:ascii="Arial" w:eastAsia="Times New Roman" w:hAnsi="Arial" w:cs="Arial"/>
                <w:color w:val="000000"/>
                <w:lang w:eastAsia="it-IT"/>
              </w:rPr>
              <w:t>)</w:t>
            </w:r>
          </w:p>
        </w:tc>
        <w:tc>
          <w:tcPr>
            <w:tcW w:w="1580" w:type="dxa"/>
            <w:tcBorders>
              <w:top w:val="nil"/>
              <w:left w:val="nil"/>
              <w:bottom w:val="single" w:sz="12" w:space="0" w:color="7F7F7F"/>
              <w:right w:val="single" w:sz="12" w:space="0" w:color="000000"/>
            </w:tcBorders>
            <w:shd w:val="clear" w:color="000000" w:fill="CCFFFF"/>
            <w:vAlign w:val="center"/>
            <w:hideMark/>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A2361A">
        <w:trPr>
          <w:trHeight w:val="375"/>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000000"/>
              <w:right w:val="single" w:sz="12" w:space="0" w:color="7F7F7F"/>
            </w:tcBorders>
            <w:shd w:val="clear" w:color="auto" w:fill="auto"/>
            <w:vAlign w:val="center"/>
            <w:hideMark/>
          </w:tcPr>
          <w:p w:rsidR="000C6203" w:rsidRPr="000C6203" w:rsidRDefault="000C6203" w:rsidP="000C6203">
            <w:pPr>
              <w:spacing w:after="0" w:line="240" w:lineRule="auto"/>
              <w:jc w:val="both"/>
              <w:rPr>
                <w:rFonts w:ascii="Arial" w:eastAsia="Times New Roman" w:hAnsi="Arial" w:cs="Arial"/>
                <w:b/>
                <w:bCs/>
                <w:i/>
                <w:iCs/>
                <w:color w:val="000000"/>
                <w:lang w:eastAsia="it-IT"/>
              </w:rPr>
            </w:pPr>
            <w:r w:rsidRPr="000C6203">
              <w:rPr>
                <w:rFonts w:ascii="Arial" w:eastAsia="Times New Roman" w:hAnsi="Arial" w:cs="Arial"/>
                <w:b/>
                <w:bCs/>
                <w:i/>
                <w:iCs/>
                <w:color w:val="000000"/>
                <w:lang w:eastAsia="it-IT"/>
              </w:rPr>
              <w:t xml:space="preserve">Totale “Somme a disposizione” </w:t>
            </w:r>
            <w:r w:rsidRPr="000C6203">
              <w:rPr>
                <w:rFonts w:ascii="Arial" w:eastAsia="Times New Roman" w:hAnsi="Arial" w:cs="Arial"/>
                <w:i/>
                <w:iCs/>
                <w:color w:val="000000"/>
                <w:lang w:eastAsia="it-IT"/>
              </w:rPr>
              <w:t>(somma da 1 a 13)</w:t>
            </w:r>
          </w:p>
        </w:tc>
        <w:tc>
          <w:tcPr>
            <w:tcW w:w="1580" w:type="dxa"/>
            <w:tcBorders>
              <w:top w:val="nil"/>
              <w:left w:val="nil"/>
              <w:bottom w:val="single" w:sz="12" w:space="0" w:color="000000"/>
              <w:right w:val="single" w:sz="12" w:space="0" w:color="000000"/>
            </w:tcBorders>
            <w:shd w:val="clear" w:color="000000" w:fill="CCFFFF"/>
            <w:vAlign w:val="center"/>
            <w:hideMark/>
          </w:tcPr>
          <w:p w:rsidR="000C6203" w:rsidRPr="000C6203" w:rsidRDefault="000C6203" w:rsidP="000C6203">
            <w:pPr>
              <w:spacing w:after="0" w:line="240" w:lineRule="auto"/>
              <w:jc w:val="right"/>
              <w:rPr>
                <w:rFonts w:ascii="Arial" w:eastAsia="Times New Roman" w:hAnsi="Arial" w:cs="Arial"/>
                <w:b/>
                <w:bCs/>
                <w:i/>
                <w:iCs/>
                <w:color w:val="7F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b/>
                <w:bCs/>
                <w:i/>
                <w:iCs/>
                <w:color w:val="7F0000"/>
                <w:lang w:eastAsia="it-IT"/>
              </w:rPr>
            </w:pPr>
          </w:p>
        </w:tc>
      </w:tr>
      <w:tr w:rsidR="000C6203" w:rsidRPr="000C6203" w:rsidTr="0027200B">
        <w:trPr>
          <w:trHeight w:val="375"/>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7920" w:type="dxa"/>
            <w:gridSpan w:val="2"/>
            <w:tcBorders>
              <w:top w:val="single" w:sz="12" w:space="0" w:color="000000"/>
              <w:left w:val="single" w:sz="12" w:space="0" w:color="000000"/>
              <w:bottom w:val="single" w:sz="12" w:space="0" w:color="000000"/>
              <w:right w:val="single" w:sz="12" w:space="0" w:color="000000"/>
            </w:tcBorders>
            <w:shd w:val="clear" w:color="auto" w:fill="D6DBDC"/>
            <w:vAlign w:val="center"/>
            <w:hideMark/>
          </w:tcPr>
          <w:p w:rsidR="000C6203" w:rsidRPr="000C6203" w:rsidRDefault="000C6203" w:rsidP="000C6203">
            <w:pPr>
              <w:spacing w:after="0" w:line="240" w:lineRule="auto"/>
              <w:jc w:val="both"/>
              <w:rPr>
                <w:rFonts w:ascii="Arial" w:eastAsia="Times New Roman" w:hAnsi="Arial" w:cs="Arial"/>
                <w:b/>
                <w:bCs/>
                <w:color w:val="000000"/>
                <w:lang w:eastAsia="it-IT"/>
              </w:rPr>
            </w:pPr>
            <w:r w:rsidRPr="000C6203">
              <w:rPr>
                <w:rFonts w:ascii="Arial" w:eastAsia="Times New Roman" w:hAnsi="Arial" w:cs="Arial"/>
                <w:b/>
                <w:bCs/>
                <w:color w:val="000000"/>
                <w:lang w:eastAsia="it-IT"/>
              </w:rPr>
              <w:t>C - BENI/FORNITURE FUNZIONALI ALLA REALIZZAZIONE DELL’OPERA</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b/>
                <w:bCs/>
                <w:color w:val="000000"/>
                <w:lang w:eastAsia="it-IT"/>
              </w:rPr>
            </w:pPr>
          </w:p>
        </w:tc>
      </w:tr>
      <w:tr w:rsidR="000C6203" w:rsidRPr="000C6203" w:rsidTr="0027200B">
        <w:trPr>
          <w:trHeight w:val="375"/>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0C6203" w:rsidRPr="000C6203" w:rsidRDefault="000C6203" w:rsidP="000C62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1) Forniture</w:t>
            </w:r>
          </w:p>
        </w:tc>
        <w:tc>
          <w:tcPr>
            <w:tcW w:w="1580" w:type="dxa"/>
            <w:tcBorders>
              <w:top w:val="nil"/>
              <w:left w:val="nil"/>
              <w:bottom w:val="single" w:sz="12" w:space="0" w:color="7F7F7F"/>
              <w:right w:val="single" w:sz="12" w:space="0" w:color="000000"/>
            </w:tcBorders>
            <w:shd w:val="clear" w:color="auto" w:fill="D6DBDC"/>
            <w:vAlign w:val="center"/>
            <w:hideMark/>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27200B">
        <w:trPr>
          <w:trHeight w:val="375"/>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0C6203" w:rsidRPr="000C6203" w:rsidRDefault="000C6203" w:rsidP="000C62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2) Servizi</w:t>
            </w:r>
          </w:p>
        </w:tc>
        <w:tc>
          <w:tcPr>
            <w:tcW w:w="1580" w:type="dxa"/>
            <w:tcBorders>
              <w:top w:val="nil"/>
              <w:left w:val="nil"/>
              <w:bottom w:val="single" w:sz="12" w:space="0" w:color="7F7F7F"/>
              <w:right w:val="single" w:sz="12" w:space="0" w:color="000000"/>
            </w:tcBorders>
            <w:shd w:val="clear" w:color="auto" w:fill="D6DBDC"/>
            <w:vAlign w:val="center"/>
            <w:hideMark/>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27200B">
        <w:trPr>
          <w:trHeight w:val="375"/>
        </w:trPr>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tcPr>
          <w:p w:rsidR="000C6203" w:rsidRPr="000C6203" w:rsidRDefault="000C6203" w:rsidP="000C6203">
            <w:pPr>
              <w:spacing w:after="0" w:line="240" w:lineRule="auto"/>
              <w:ind w:left="244" w:hanging="244"/>
              <w:jc w:val="both"/>
              <w:rPr>
                <w:rFonts w:ascii="Arial" w:eastAsia="Times New Roman" w:hAnsi="Arial" w:cs="Arial"/>
                <w:color w:val="000000"/>
                <w:lang w:eastAsia="it-IT"/>
              </w:rPr>
            </w:pPr>
            <w:r w:rsidRPr="000C6203">
              <w:rPr>
                <w:rFonts w:ascii="Arial" w:eastAsia="Times New Roman" w:hAnsi="Arial" w:cs="Arial"/>
                <w:color w:val="000000"/>
                <w:lang w:eastAsia="it-IT"/>
              </w:rPr>
              <w:t>3) Altre spese tecniche connesse alla realizzazione dei servizi e/o forniture (</w:t>
            </w:r>
            <w:r w:rsidRPr="000C6203">
              <w:rPr>
                <w:rFonts w:ascii="Arial" w:eastAsia="Times New Roman" w:hAnsi="Arial" w:cs="Arial"/>
                <w:i/>
                <w:color w:val="000000"/>
                <w:lang w:eastAsia="it-IT"/>
              </w:rPr>
              <w:t>nota 12</w:t>
            </w:r>
            <w:r w:rsidRPr="000C6203">
              <w:rPr>
                <w:rFonts w:ascii="Arial" w:eastAsia="Times New Roman" w:hAnsi="Arial" w:cs="Arial"/>
                <w:color w:val="000000"/>
                <w:lang w:eastAsia="it-IT"/>
              </w:rPr>
              <w:t>)</w:t>
            </w:r>
          </w:p>
        </w:tc>
        <w:tc>
          <w:tcPr>
            <w:tcW w:w="1580" w:type="dxa"/>
            <w:tcBorders>
              <w:top w:val="nil"/>
              <w:left w:val="nil"/>
              <w:bottom w:val="single" w:sz="12" w:space="0" w:color="7F7F7F"/>
              <w:right w:val="single" w:sz="12" w:space="0" w:color="000000"/>
            </w:tcBorders>
            <w:shd w:val="clear" w:color="auto" w:fill="D6DBDC"/>
            <w:vAlign w:val="center"/>
          </w:tcPr>
          <w:p w:rsidR="000C6203" w:rsidRPr="000C6203" w:rsidRDefault="000C6203" w:rsidP="000C6203">
            <w:pPr>
              <w:spacing w:after="0" w:line="240" w:lineRule="auto"/>
              <w:jc w:val="right"/>
              <w:rPr>
                <w:rFonts w:ascii="Arial" w:eastAsia="Times New Roman" w:hAnsi="Arial" w:cs="Arial"/>
                <w:b/>
                <w:bCs/>
                <w:i/>
                <w:iCs/>
                <w:color w:val="7F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27200B">
        <w:trPr>
          <w:trHeight w:val="375"/>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7F7F7F"/>
              <w:right w:val="single" w:sz="12" w:space="0" w:color="7F7F7F"/>
            </w:tcBorders>
            <w:shd w:val="clear" w:color="auto" w:fill="auto"/>
            <w:vAlign w:val="center"/>
            <w:hideMark/>
          </w:tcPr>
          <w:p w:rsidR="000C6203" w:rsidRPr="000C6203" w:rsidRDefault="000C6203" w:rsidP="000C6203">
            <w:pPr>
              <w:spacing w:after="0" w:line="240" w:lineRule="auto"/>
              <w:jc w:val="both"/>
              <w:rPr>
                <w:rFonts w:ascii="Arial" w:eastAsia="Times New Roman" w:hAnsi="Arial" w:cs="Arial"/>
                <w:color w:val="000000"/>
                <w:lang w:eastAsia="it-IT"/>
              </w:rPr>
            </w:pPr>
            <w:r w:rsidRPr="000C6203">
              <w:rPr>
                <w:rFonts w:ascii="Arial" w:eastAsia="Times New Roman" w:hAnsi="Arial" w:cs="Arial"/>
                <w:color w:val="000000"/>
                <w:lang w:eastAsia="it-IT"/>
              </w:rPr>
              <w:t>4) I.V.A. su forniture e/o servizi</w:t>
            </w:r>
          </w:p>
        </w:tc>
        <w:tc>
          <w:tcPr>
            <w:tcW w:w="1580" w:type="dxa"/>
            <w:tcBorders>
              <w:top w:val="nil"/>
              <w:left w:val="nil"/>
              <w:bottom w:val="single" w:sz="12" w:space="0" w:color="7F7F7F"/>
              <w:right w:val="single" w:sz="12" w:space="0" w:color="000000"/>
            </w:tcBorders>
            <w:shd w:val="clear" w:color="auto" w:fill="D6DBDC"/>
            <w:vAlign w:val="center"/>
            <w:hideMark/>
          </w:tcPr>
          <w:p w:rsidR="000C6203" w:rsidRPr="000C6203" w:rsidRDefault="000C6203" w:rsidP="000C6203">
            <w:pPr>
              <w:spacing w:after="0" w:line="240" w:lineRule="auto"/>
              <w:jc w:val="right"/>
              <w:rPr>
                <w:rFonts w:ascii="Arial" w:eastAsia="Times New Roman" w:hAnsi="Arial" w:cs="Arial"/>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color w:val="000000"/>
                <w:lang w:eastAsia="it-IT"/>
              </w:rPr>
            </w:pPr>
          </w:p>
        </w:tc>
      </w:tr>
      <w:tr w:rsidR="000C6203" w:rsidRPr="000C6203" w:rsidTr="0027200B">
        <w:trPr>
          <w:trHeight w:val="375"/>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single" w:sz="12" w:space="0" w:color="000000"/>
              <w:bottom w:val="single" w:sz="12" w:space="0" w:color="000000"/>
              <w:right w:val="single" w:sz="12" w:space="0" w:color="7F7F7F"/>
            </w:tcBorders>
            <w:shd w:val="clear" w:color="auto" w:fill="auto"/>
            <w:vAlign w:val="center"/>
            <w:hideMark/>
          </w:tcPr>
          <w:p w:rsidR="000C6203" w:rsidRPr="000C6203" w:rsidRDefault="000C6203" w:rsidP="000C6203">
            <w:pPr>
              <w:spacing w:after="0" w:line="240" w:lineRule="auto"/>
              <w:jc w:val="both"/>
              <w:rPr>
                <w:rFonts w:ascii="Arial" w:eastAsia="Times New Roman" w:hAnsi="Arial" w:cs="Arial"/>
                <w:b/>
                <w:i/>
                <w:color w:val="000000"/>
                <w:lang w:eastAsia="it-IT"/>
              </w:rPr>
            </w:pPr>
            <w:r w:rsidRPr="000C6203">
              <w:rPr>
                <w:rFonts w:ascii="Arial" w:eastAsia="Times New Roman" w:hAnsi="Arial" w:cs="Arial"/>
                <w:b/>
                <w:i/>
                <w:color w:val="000000"/>
                <w:lang w:eastAsia="it-IT"/>
              </w:rPr>
              <w:t>Totale “Beni/Forniture” (somma da 1 a 4)</w:t>
            </w:r>
          </w:p>
        </w:tc>
        <w:tc>
          <w:tcPr>
            <w:tcW w:w="1580" w:type="dxa"/>
            <w:tcBorders>
              <w:top w:val="nil"/>
              <w:left w:val="nil"/>
              <w:bottom w:val="single" w:sz="12" w:space="0" w:color="000000"/>
              <w:right w:val="single" w:sz="12" w:space="0" w:color="000000"/>
            </w:tcBorders>
            <w:shd w:val="clear" w:color="auto" w:fill="D6DBDC"/>
            <w:vAlign w:val="center"/>
            <w:hideMark/>
          </w:tcPr>
          <w:p w:rsidR="000C6203" w:rsidRPr="000C6203" w:rsidRDefault="000C6203" w:rsidP="000C6203">
            <w:pPr>
              <w:spacing w:after="0" w:line="240" w:lineRule="auto"/>
              <w:jc w:val="right"/>
              <w:rPr>
                <w:rFonts w:ascii="Arial" w:eastAsia="Times New Roman" w:hAnsi="Arial" w:cs="Arial"/>
                <w:b/>
                <w:bCs/>
                <w:i/>
                <w:iCs/>
                <w:color w:val="7F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b/>
                <w:bCs/>
                <w:i/>
                <w:iCs/>
                <w:color w:val="7F0000"/>
                <w:lang w:eastAsia="it-IT"/>
              </w:rPr>
            </w:pPr>
          </w:p>
        </w:tc>
      </w:tr>
      <w:tr w:rsidR="000C6203" w:rsidRPr="000C6203" w:rsidTr="009D2175">
        <w:trPr>
          <w:trHeight w:val="375"/>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vAlign w:val="center"/>
            <w:hideMark/>
          </w:tcPr>
          <w:p w:rsidR="000C6203" w:rsidRPr="000C6203" w:rsidRDefault="000C6203" w:rsidP="000C6203">
            <w:pPr>
              <w:spacing w:after="0" w:line="240" w:lineRule="auto"/>
              <w:jc w:val="both"/>
              <w:rPr>
                <w:rFonts w:ascii="Arial" w:eastAsia="Times New Roman" w:hAnsi="Arial" w:cs="Arial"/>
                <w:b/>
                <w:bCs/>
                <w:color w:val="000000"/>
                <w:lang w:eastAsia="it-IT"/>
              </w:rPr>
            </w:pPr>
            <w:r w:rsidRPr="000C6203">
              <w:rPr>
                <w:rFonts w:ascii="Arial" w:eastAsia="Times New Roman" w:hAnsi="Arial" w:cs="Arial"/>
                <w:b/>
                <w:bCs/>
                <w:color w:val="000000"/>
                <w:lang w:eastAsia="it-IT"/>
              </w:rPr>
              <w:t xml:space="preserve">COSTO COMPLESSIVO PROGETTO (A + B + C) </w:t>
            </w:r>
          </w:p>
        </w:tc>
        <w:tc>
          <w:tcPr>
            <w:tcW w:w="1580"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vAlign w:val="center"/>
            <w:hideMark/>
          </w:tcPr>
          <w:p w:rsidR="000C6203" w:rsidRPr="000C6203" w:rsidRDefault="000C6203" w:rsidP="000C6203">
            <w:pPr>
              <w:spacing w:after="0" w:line="240" w:lineRule="auto"/>
              <w:jc w:val="right"/>
              <w:rPr>
                <w:rFonts w:ascii="Arial" w:eastAsia="Times New Roman" w:hAnsi="Arial" w:cs="Arial"/>
                <w:b/>
                <w:bCs/>
                <w:color w:val="000000"/>
                <w:lang w:eastAsia="it-IT"/>
              </w:rPr>
            </w:pPr>
            <w:r w:rsidRPr="000C6203">
              <w:rPr>
                <w:rFonts w:ascii="Arial" w:eastAsia="Times New Roman" w:hAnsi="Arial" w:cs="Arial"/>
                <w:b/>
                <w:bCs/>
                <w:color w:val="000000"/>
                <w:lang w:eastAsia="it-IT"/>
              </w:rPr>
              <w:t>0,00 €</w:t>
            </w:r>
          </w:p>
        </w:tc>
        <w:tc>
          <w:tcPr>
            <w:tcW w:w="960" w:type="dxa"/>
            <w:tcBorders>
              <w:top w:val="nil"/>
              <w:left w:val="single" w:sz="12" w:space="0" w:color="000000"/>
              <w:bottom w:val="nil"/>
              <w:right w:val="nil"/>
            </w:tcBorders>
            <w:shd w:val="clear" w:color="auto" w:fill="auto"/>
            <w:noWrap/>
            <w:vAlign w:val="bottom"/>
            <w:hideMark/>
          </w:tcPr>
          <w:p w:rsidR="000C6203" w:rsidRPr="000C6203" w:rsidRDefault="000C6203" w:rsidP="000C6203">
            <w:pPr>
              <w:spacing w:after="0" w:line="240" w:lineRule="auto"/>
              <w:jc w:val="right"/>
              <w:rPr>
                <w:rFonts w:ascii="Arial" w:eastAsia="Times New Roman" w:hAnsi="Arial" w:cs="Arial"/>
                <w:b/>
                <w:bCs/>
                <w:color w:val="000000"/>
                <w:lang w:eastAsia="it-IT"/>
              </w:rPr>
            </w:pPr>
          </w:p>
        </w:tc>
      </w:tr>
      <w:tr w:rsidR="000C6203" w:rsidRPr="000C6203" w:rsidTr="009D2175">
        <w:trPr>
          <w:trHeight w:val="375"/>
        </w:trPr>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vAlign w:val="center"/>
          </w:tcPr>
          <w:p w:rsidR="000C6203" w:rsidRPr="000C6203" w:rsidRDefault="000C6203" w:rsidP="006A4142">
            <w:pPr>
              <w:spacing w:after="0" w:line="240" w:lineRule="auto"/>
              <w:jc w:val="both"/>
              <w:rPr>
                <w:rFonts w:ascii="Arial" w:eastAsia="Times New Roman" w:hAnsi="Arial" w:cs="Arial"/>
                <w:b/>
                <w:bCs/>
                <w:color w:val="000000"/>
                <w:lang w:eastAsia="it-IT"/>
              </w:rPr>
            </w:pPr>
            <w:r w:rsidRPr="000C6203">
              <w:rPr>
                <w:rFonts w:ascii="Arial" w:hAnsi="Arial" w:cs="Arial"/>
              </w:rPr>
              <w:t xml:space="preserve"> </w:t>
            </w:r>
            <w:r w:rsidRPr="000C6203">
              <w:rPr>
                <w:rFonts w:ascii="Arial" w:eastAsia="Times New Roman" w:hAnsi="Arial" w:cs="Arial"/>
                <w:b/>
                <w:bCs/>
                <w:color w:val="000000"/>
                <w:lang w:eastAsia="it-IT"/>
              </w:rPr>
              <w:t>D – RIBASSO D’ASTA (</w:t>
            </w:r>
            <w:r w:rsidR="006A4142" w:rsidRPr="006A4142">
              <w:rPr>
                <w:rFonts w:ascii="Arial" w:eastAsia="Times New Roman" w:hAnsi="Arial" w:cs="Arial"/>
                <w:b/>
                <w:bCs/>
                <w:i/>
                <w:color w:val="000000"/>
                <w:lang w:eastAsia="it-IT"/>
              </w:rPr>
              <w:t>nota</w:t>
            </w:r>
            <w:r w:rsidRPr="006A4142">
              <w:rPr>
                <w:rFonts w:ascii="Arial" w:eastAsia="Times New Roman" w:hAnsi="Arial" w:cs="Arial"/>
                <w:b/>
                <w:bCs/>
                <w:i/>
                <w:color w:val="000000"/>
                <w:lang w:eastAsia="it-IT"/>
              </w:rPr>
              <w:t xml:space="preserve"> 13</w:t>
            </w:r>
            <w:r w:rsidRPr="000C6203">
              <w:rPr>
                <w:rFonts w:ascii="Arial" w:eastAsia="Times New Roman" w:hAnsi="Arial" w:cs="Arial"/>
                <w:b/>
                <w:bCs/>
                <w:color w:val="000000"/>
                <w:lang w:eastAsia="it-IT"/>
              </w:rPr>
              <w:t>)</w:t>
            </w:r>
            <w:r w:rsidRPr="000C6203" w:rsidDel="001A608C">
              <w:rPr>
                <w:rFonts w:ascii="Arial" w:eastAsia="Times New Roman" w:hAnsi="Arial" w:cs="Arial"/>
                <w:b/>
                <w:bCs/>
                <w:color w:val="000000"/>
                <w:lang w:eastAsia="it-IT"/>
              </w:rPr>
              <w:t xml:space="preserve"> </w:t>
            </w:r>
          </w:p>
        </w:tc>
        <w:tc>
          <w:tcPr>
            <w:tcW w:w="1580" w:type="dxa"/>
            <w:tcBorders>
              <w:top w:val="single" w:sz="12" w:space="0" w:color="000000"/>
              <w:left w:val="single" w:sz="12" w:space="0" w:color="000000"/>
              <w:bottom w:val="single" w:sz="12" w:space="0" w:color="000000"/>
              <w:right w:val="single" w:sz="12" w:space="0" w:color="000000"/>
            </w:tcBorders>
            <w:shd w:val="clear" w:color="auto" w:fill="C9C9C9" w:themeFill="accent3" w:themeFillTint="99"/>
            <w:vAlign w:val="center"/>
          </w:tcPr>
          <w:p w:rsidR="000C6203" w:rsidRPr="000C6203" w:rsidRDefault="0027200B" w:rsidP="000C6203">
            <w:pPr>
              <w:spacing w:after="0" w:line="240" w:lineRule="auto"/>
              <w:jc w:val="right"/>
              <w:rPr>
                <w:rFonts w:ascii="Arial" w:eastAsia="Times New Roman" w:hAnsi="Arial" w:cs="Arial"/>
                <w:b/>
                <w:bCs/>
                <w:color w:val="000000"/>
                <w:lang w:eastAsia="it-IT"/>
              </w:rPr>
            </w:pPr>
            <w:r w:rsidRPr="000C6203">
              <w:rPr>
                <w:rFonts w:ascii="Arial" w:eastAsia="Times New Roman" w:hAnsi="Arial" w:cs="Arial"/>
                <w:b/>
                <w:bCs/>
                <w:color w:val="000000"/>
                <w:lang w:eastAsia="it-IT"/>
              </w:rPr>
              <w:t>0,00 €</w:t>
            </w:r>
          </w:p>
        </w:tc>
        <w:tc>
          <w:tcPr>
            <w:tcW w:w="960" w:type="dxa"/>
            <w:tcBorders>
              <w:top w:val="nil"/>
              <w:left w:val="single" w:sz="12" w:space="0" w:color="000000"/>
              <w:bottom w:val="nil"/>
              <w:right w:val="nil"/>
            </w:tcBorders>
            <w:shd w:val="clear" w:color="auto" w:fill="auto"/>
            <w:noWrap/>
            <w:vAlign w:val="bottom"/>
          </w:tcPr>
          <w:p w:rsidR="000C6203" w:rsidRPr="000C6203" w:rsidRDefault="000C6203" w:rsidP="000C6203">
            <w:pPr>
              <w:spacing w:after="0" w:line="240" w:lineRule="auto"/>
              <w:jc w:val="right"/>
              <w:rPr>
                <w:rFonts w:ascii="Arial" w:eastAsia="Times New Roman" w:hAnsi="Arial" w:cs="Arial"/>
                <w:b/>
                <w:bCs/>
                <w:color w:val="000000"/>
                <w:lang w:eastAsia="it-IT"/>
              </w:rPr>
            </w:pPr>
          </w:p>
        </w:tc>
      </w:tr>
      <w:tr w:rsidR="000C6203" w:rsidRPr="000C6203" w:rsidTr="009D2175">
        <w:trPr>
          <w:trHeight w:val="375"/>
        </w:trPr>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single" w:sz="12" w:space="0" w:color="000000"/>
              <w:left w:val="single" w:sz="12" w:space="0" w:color="000000"/>
              <w:bottom w:val="single" w:sz="12" w:space="0" w:color="000000"/>
              <w:right w:val="single" w:sz="4" w:space="0" w:color="auto"/>
            </w:tcBorders>
            <w:shd w:val="clear" w:color="auto" w:fill="auto"/>
            <w:vAlign w:val="center"/>
          </w:tcPr>
          <w:p w:rsidR="000C6203" w:rsidRPr="000C6203" w:rsidRDefault="000C6203" w:rsidP="000C6203">
            <w:pPr>
              <w:pStyle w:val="Paragrafoelenco"/>
              <w:numPr>
                <w:ilvl w:val="0"/>
                <w:numId w:val="5"/>
              </w:numPr>
              <w:spacing w:after="0" w:line="240" w:lineRule="auto"/>
              <w:ind w:left="386" w:hanging="284"/>
              <w:jc w:val="both"/>
              <w:rPr>
                <w:rFonts w:ascii="Arial" w:eastAsia="Times New Roman" w:hAnsi="Arial" w:cs="Arial"/>
                <w:bCs/>
                <w:color w:val="000000"/>
                <w:lang w:eastAsia="it-IT"/>
              </w:rPr>
            </w:pPr>
            <w:r w:rsidRPr="000C6203">
              <w:rPr>
                <w:rFonts w:ascii="Arial" w:eastAsia="Times New Roman" w:hAnsi="Arial" w:cs="Arial"/>
                <w:bCs/>
                <w:color w:val="000000"/>
                <w:lang w:eastAsia="it-IT"/>
              </w:rPr>
              <w:t xml:space="preserve">% </w:t>
            </w:r>
            <w:r w:rsidRPr="000C6203">
              <w:rPr>
                <w:rFonts w:ascii="Arial" w:eastAsia="Times New Roman" w:hAnsi="Arial" w:cs="Arial"/>
                <w:color w:val="000000"/>
                <w:lang w:eastAsia="it-IT"/>
              </w:rPr>
              <w:t>ribasso</w:t>
            </w:r>
            <w:r w:rsidRPr="000C6203">
              <w:rPr>
                <w:rFonts w:ascii="Arial" w:eastAsia="Times New Roman" w:hAnsi="Arial" w:cs="Arial"/>
                <w:bCs/>
                <w:color w:val="000000"/>
                <w:lang w:eastAsia="it-IT"/>
              </w:rPr>
              <w:t xml:space="preserve"> lavori</w:t>
            </w:r>
          </w:p>
        </w:tc>
        <w:tc>
          <w:tcPr>
            <w:tcW w:w="1580" w:type="dxa"/>
            <w:tcBorders>
              <w:top w:val="single" w:sz="12" w:space="0" w:color="000000"/>
              <w:left w:val="single" w:sz="4" w:space="0" w:color="auto"/>
              <w:bottom w:val="single" w:sz="12" w:space="0" w:color="000000"/>
              <w:right w:val="single" w:sz="12" w:space="0" w:color="000000"/>
            </w:tcBorders>
            <w:shd w:val="clear" w:color="auto" w:fill="C9C9C9" w:themeFill="accent3" w:themeFillTint="99"/>
            <w:vAlign w:val="center"/>
          </w:tcPr>
          <w:p w:rsidR="000C6203" w:rsidRPr="000C6203" w:rsidRDefault="000C6203" w:rsidP="000C6203">
            <w:pPr>
              <w:spacing w:after="0" w:line="240" w:lineRule="auto"/>
              <w:jc w:val="right"/>
              <w:rPr>
                <w:rFonts w:ascii="Arial" w:eastAsia="Times New Roman" w:hAnsi="Arial" w:cs="Arial"/>
                <w:b/>
                <w:bCs/>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jc w:val="right"/>
              <w:rPr>
                <w:rFonts w:ascii="Arial" w:eastAsia="Times New Roman" w:hAnsi="Arial" w:cs="Arial"/>
                <w:b/>
                <w:bCs/>
                <w:color w:val="000000"/>
                <w:lang w:eastAsia="it-IT"/>
              </w:rPr>
            </w:pPr>
          </w:p>
        </w:tc>
      </w:tr>
      <w:tr w:rsidR="000C6203" w:rsidRPr="000C6203" w:rsidTr="009D2175">
        <w:trPr>
          <w:trHeight w:val="375"/>
        </w:trPr>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single" w:sz="12" w:space="0" w:color="000000"/>
              <w:left w:val="single" w:sz="12" w:space="0" w:color="000000"/>
              <w:bottom w:val="single" w:sz="12" w:space="0" w:color="000000"/>
              <w:right w:val="single" w:sz="4" w:space="0" w:color="auto"/>
            </w:tcBorders>
            <w:shd w:val="clear" w:color="auto" w:fill="auto"/>
            <w:vAlign w:val="center"/>
          </w:tcPr>
          <w:p w:rsidR="000C6203" w:rsidRPr="000C6203" w:rsidRDefault="000C6203" w:rsidP="000C6203">
            <w:pPr>
              <w:pStyle w:val="Paragrafoelenco"/>
              <w:numPr>
                <w:ilvl w:val="0"/>
                <w:numId w:val="5"/>
              </w:numPr>
              <w:spacing w:after="0" w:line="240" w:lineRule="auto"/>
              <w:ind w:left="386" w:hanging="284"/>
              <w:jc w:val="both"/>
              <w:rPr>
                <w:rFonts w:ascii="Arial" w:eastAsia="Times New Roman" w:hAnsi="Arial" w:cs="Arial"/>
                <w:b/>
                <w:bCs/>
                <w:color w:val="000000"/>
                <w:lang w:eastAsia="it-IT"/>
              </w:rPr>
            </w:pPr>
            <w:r w:rsidRPr="000C6203">
              <w:rPr>
                <w:rFonts w:ascii="Arial" w:eastAsia="Times New Roman" w:hAnsi="Arial" w:cs="Arial"/>
                <w:color w:val="000000"/>
                <w:lang w:eastAsia="it-IT"/>
              </w:rPr>
              <w:t>Importo in Euro</w:t>
            </w:r>
          </w:p>
        </w:tc>
        <w:tc>
          <w:tcPr>
            <w:tcW w:w="1580" w:type="dxa"/>
            <w:tcBorders>
              <w:top w:val="single" w:sz="12" w:space="0" w:color="000000"/>
              <w:left w:val="single" w:sz="4" w:space="0" w:color="auto"/>
              <w:bottom w:val="single" w:sz="12" w:space="0" w:color="000000"/>
              <w:right w:val="single" w:sz="12" w:space="0" w:color="000000"/>
            </w:tcBorders>
            <w:shd w:val="clear" w:color="auto" w:fill="C9C9C9" w:themeFill="accent3" w:themeFillTint="99"/>
            <w:vAlign w:val="center"/>
          </w:tcPr>
          <w:p w:rsidR="000C6203" w:rsidRPr="000C6203" w:rsidRDefault="000C6203" w:rsidP="000C6203">
            <w:pPr>
              <w:spacing w:after="0" w:line="240" w:lineRule="auto"/>
              <w:jc w:val="right"/>
              <w:rPr>
                <w:rFonts w:ascii="Arial" w:eastAsia="Times New Roman" w:hAnsi="Arial" w:cs="Arial"/>
                <w:b/>
                <w:bCs/>
                <w:color w:val="000000"/>
                <w:lang w:eastAsia="it-IT"/>
              </w:rPr>
            </w:pPr>
            <w:r w:rsidRPr="000C6203">
              <w:rPr>
                <w:rFonts w:ascii="Arial" w:eastAsia="Times New Roman" w:hAnsi="Arial" w:cs="Arial"/>
                <w:b/>
                <w:bCs/>
                <w:i/>
                <w:iCs/>
                <w:color w:val="7F0000"/>
                <w:lang w:eastAsia="it-IT"/>
              </w:rPr>
              <w:t>0,00 €</w:t>
            </w:r>
          </w:p>
        </w:tc>
        <w:tc>
          <w:tcPr>
            <w:tcW w:w="960" w:type="dxa"/>
            <w:tcBorders>
              <w:top w:val="nil"/>
              <w:left w:val="nil"/>
              <w:bottom w:val="nil"/>
              <w:right w:val="nil"/>
            </w:tcBorders>
            <w:shd w:val="clear" w:color="auto" w:fill="auto"/>
            <w:noWrap/>
            <w:vAlign w:val="bottom"/>
          </w:tcPr>
          <w:p w:rsidR="000C6203" w:rsidRPr="000C6203" w:rsidRDefault="000C6203" w:rsidP="000C6203">
            <w:pPr>
              <w:spacing w:after="0" w:line="240" w:lineRule="auto"/>
              <w:jc w:val="right"/>
              <w:rPr>
                <w:rFonts w:ascii="Arial" w:eastAsia="Times New Roman" w:hAnsi="Arial" w:cs="Arial"/>
                <w:b/>
                <w:bCs/>
                <w:color w:val="000000"/>
                <w:lang w:eastAsia="it-IT"/>
              </w:rPr>
            </w:pPr>
          </w:p>
        </w:tc>
      </w:tr>
      <w:tr w:rsidR="000C6203" w:rsidRPr="000C6203" w:rsidTr="00A2361A">
        <w:trPr>
          <w:trHeight w:val="300"/>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634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both"/>
              <w:rPr>
                <w:rFonts w:ascii="Arial" w:eastAsia="Times New Roman" w:hAnsi="Arial" w:cs="Arial"/>
                <w:lang w:eastAsia="it-IT"/>
              </w:rPr>
            </w:pPr>
          </w:p>
        </w:tc>
        <w:tc>
          <w:tcPr>
            <w:tcW w:w="158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r>
      <w:tr w:rsidR="000C6203" w:rsidRPr="000C6203" w:rsidTr="00A2361A">
        <w:trPr>
          <w:trHeight w:val="1275"/>
        </w:trPr>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rPr>
                <w:rFonts w:ascii="Arial" w:eastAsia="Times New Roman" w:hAnsi="Arial" w:cs="Arial"/>
                <w:lang w:eastAsia="it-IT"/>
              </w:rPr>
            </w:pPr>
          </w:p>
        </w:tc>
        <w:tc>
          <w:tcPr>
            <w:tcW w:w="7920" w:type="dxa"/>
            <w:gridSpan w:val="2"/>
            <w:tcBorders>
              <w:top w:val="nil"/>
              <w:left w:val="nil"/>
              <w:bottom w:val="nil"/>
              <w:right w:val="nil"/>
            </w:tcBorders>
            <w:shd w:val="clear" w:color="auto" w:fill="auto"/>
            <w:vAlign w:val="center"/>
            <w:hideMark/>
          </w:tcPr>
          <w:p w:rsidR="000C6203" w:rsidRPr="000C6203" w:rsidRDefault="000C6203" w:rsidP="000C6203">
            <w:pPr>
              <w:spacing w:after="0" w:line="240" w:lineRule="auto"/>
              <w:jc w:val="center"/>
              <w:rPr>
                <w:rFonts w:ascii="Arial" w:eastAsia="Times New Roman" w:hAnsi="Arial" w:cs="Arial"/>
                <w:i/>
                <w:iCs/>
                <w:color w:val="000000"/>
                <w:lang w:eastAsia="it-IT"/>
              </w:rPr>
            </w:pPr>
          </w:p>
          <w:tbl>
            <w:tblPr>
              <w:tblStyle w:val="Grigliatabella"/>
              <w:tblW w:w="0" w:type="auto"/>
              <w:tblLook w:val="04A0" w:firstRow="1" w:lastRow="0" w:firstColumn="1" w:lastColumn="0" w:noHBand="0" w:noVBand="1"/>
            </w:tblPr>
            <w:tblGrid>
              <w:gridCol w:w="7770"/>
            </w:tblGrid>
            <w:tr w:rsidR="000C6203" w:rsidRPr="000C6203" w:rsidTr="003673C9">
              <w:trPr>
                <w:trHeight w:val="2821"/>
              </w:trPr>
              <w:tc>
                <w:tcPr>
                  <w:tcW w:w="7770" w:type="dxa"/>
                </w:tcPr>
                <w:p w:rsidR="000C6203" w:rsidRPr="00F6757C" w:rsidRDefault="000C6203" w:rsidP="000C6203">
                  <w:pPr>
                    <w:pStyle w:val="TableParagraph"/>
                    <w:spacing w:before="1" w:line="240" w:lineRule="auto"/>
                    <w:ind w:left="415" w:right="93" w:hanging="233"/>
                    <w:jc w:val="both"/>
                    <w:rPr>
                      <w:rFonts w:ascii="Arial" w:hAnsi="Arial" w:cs="Arial"/>
                      <w:i/>
                    </w:rPr>
                  </w:pPr>
                  <w:r w:rsidRPr="00F6757C">
                    <w:rPr>
                      <w:rFonts w:ascii="Arial" w:hAnsi="Arial" w:cs="Arial"/>
                      <w:i/>
                    </w:rPr>
                    <w:t>(1) Nel caso di operazioni che includano sia lavori che forniture, queste ultime – indipendentemente dalla/e procedure di gara espletate – devono essere riportate nella voce “C” del quadro economico, salvo quelle che richiedono rilevanti lavorazioni aggiuntive dell’appaltatore.</w:t>
                  </w:r>
                </w:p>
                <w:p w:rsidR="00F6757C" w:rsidRPr="00F6757C" w:rsidRDefault="00F6757C" w:rsidP="000C6203">
                  <w:pPr>
                    <w:pStyle w:val="TableParagraph"/>
                    <w:spacing w:before="1" w:line="240" w:lineRule="auto"/>
                    <w:ind w:left="415" w:right="93" w:hanging="233"/>
                    <w:jc w:val="both"/>
                    <w:rPr>
                      <w:rFonts w:ascii="Arial" w:hAnsi="Arial" w:cs="Arial"/>
                      <w:i/>
                      <w:sz w:val="16"/>
                      <w:szCs w:val="16"/>
                    </w:rPr>
                  </w:pPr>
                </w:p>
                <w:p w:rsidR="000C6203" w:rsidRPr="00F6757C" w:rsidRDefault="000C6203" w:rsidP="000C6203">
                  <w:pPr>
                    <w:pStyle w:val="TableParagraph"/>
                    <w:spacing w:before="1" w:line="240" w:lineRule="auto"/>
                    <w:ind w:left="415" w:right="93" w:hanging="233"/>
                    <w:jc w:val="both"/>
                    <w:rPr>
                      <w:rFonts w:ascii="Arial" w:hAnsi="Arial" w:cs="Arial"/>
                      <w:i/>
                    </w:rPr>
                  </w:pPr>
                  <w:r w:rsidRPr="00F6757C">
                    <w:rPr>
                      <w:rFonts w:ascii="Arial" w:hAnsi="Arial" w:cs="Arial"/>
                      <w:i/>
                    </w:rPr>
                    <w:t>(2) L’art. 5 comma 2 dell’Allegato I.7 del Codice dispone che le voci del quadro economico relative a</w:t>
                  </w:r>
                  <w:r w:rsidR="0068435F" w:rsidRPr="00F6757C">
                    <w:rPr>
                      <w:rFonts w:ascii="Arial" w:hAnsi="Arial" w:cs="Arial"/>
                      <w:i/>
                    </w:rPr>
                    <w:t>d</w:t>
                  </w:r>
                  <w:r w:rsidRPr="00F6757C">
                    <w:rPr>
                      <w:rFonts w:ascii="Arial" w:hAnsi="Arial" w:cs="Arial"/>
                      <w:i/>
                    </w:rPr>
                    <w:t xml:space="preserve"> imprevisti e a</w:t>
                  </w:r>
                  <w:r w:rsidR="0068435F" w:rsidRPr="00F6757C">
                    <w:rPr>
                      <w:rFonts w:ascii="Arial" w:hAnsi="Arial" w:cs="Arial"/>
                      <w:i/>
                    </w:rPr>
                    <w:t>d</w:t>
                  </w:r>
                  <w:r w:rsidRPr="00F6757C">
                    <w:rPr>
                      <w:rFonts w:ascii="Arial" w:hAnsi="Arial" w:cs="Arial"/>
                      <w:i/>
                    </w:rPr>
                    <w:t xml:space="preserve"> eventuali lavori in amministrazione diretta, sono definite entro una soglia compresa tra il 5 e il 10 per cento dell’importo dei lavori a base di gara, comprensivo dei costi della sicurezza. </w:t>
                  </w:r>
                </w:p>
                <w:p w:rsidR="000C6203" w:rsidRPr="00F6757C" w:rsidRDefault="000C6203" w:rsidP="000C6203">
                  <w:pPr>
                    <w:pStyle w:val="TableParagraph"/>
                    <w:spacing w:before="1" w:line="240" w:lineRule="auto"/>
                    <w:ind w:left="420" w:right="93"/>
                    <w:jc w:val="both"/>
                    <w:rPr>
                      <w:rFonts w:ascii="Arial" w:hAnsi="Arial" w:cs="Arial"/>
                      <w:i/>
                    </w:rPr>
                  </w:pPr>
                  <w:r w:rsidRPr="00F6757C">
                    <w:rPr>
                      <w:rFonts w:ascii="Arial" w:hAnsi="Arial" w:cs="Arial"/>
                      <w:i/>
                    </w:rPr>
                    <w:t>L’art.17 comma 2 dell’Allegato I.7 del Codice dispone che le voci del quadro economico relative a</w:t>
                  </w:r>
                  <w:r w:rsidR="0068435F" w:rsidRPr="00F6757C">
                    <w:rPr>
                      <w:rFonts w:ascii="Arial" w:hAnsi="Arial" w:cs="Arial"/>
                      <w:i/>
                    </w:rPr>
                    <w:t>d</w:t>
                  </w:r>
                  <w:r w:rsidRPr="00F6757C">
                    <w:rPr>
                      <w:rFonts w:ascii="Arial" w:hAnsi="Arial" w:cs="Arial"/>
                      <w:i/>
                    </w:rPr>
                    <w:t xml:space="preserve"> imprevisti e a</w:t>
                  </w:r>
                  <w:r w:rsidR="0068435F" w:rsidRPr="00F6757C">
                    <w:rPr>
                      <w:rFonts w:ascii="Arial" w:hAnsi="Arial" w:cs="Arial"/>
                      <w:i/>
                    </w:rPr>
                    <w:t>d</w:t>
                  </w:r>
                  <w:r w:rsidRPr="00F6757C">
                    <w:rPr>
                      <w:rFonts w:ascii="Arial" w:hAnsi="Arial" w:cs="Arial"/>
                      <w:i/>
                    </w:rPr>
                    <w:t xml:space="preserve"> eventuali lavori in amministrazione diretta non devono superare complessivamente l’aliquota del 10 per cento dell’importo dei lavori a base di gara, comprensivo dei costi della sicurezza non soggetti a ribasso.</w:t>
                  </w:r>
                </w:p>
                <w:p w:rsidR="000C6203" w:rsidRPr="00F6757C" w:rsidRDefault="000C6203" w:rsidP="000C6203">
                  <w:pPr>
                    <w:pStyle w:val="TableParagraph"/>
                    <w:spacing w:before="1" w:line="240" w:lineRule="auto"/>
                    <w:ind w:left="420" w:right="93"/>
                    <w:jc w:val="both"/>
                    <w:rPr>
                      <w:rFonts w:ascii="Arial" w:hAnsi="Arial" w:cs="Arial"/>
                      <w:i/>
                    </w:rPr>
                  </w:pPr>
                  <w:r w:rsidRPr="00F6757C">
                    <w:rPr>
                      <w:rFonts w:ascii="Arial" w:hAnsi="Arial" w:cs="Arial"/>
                      <w:i/>
                    </w:rPr>
                    <w:t>Le voci di spesa per imprevisti e lavori in amministrazione diretta del Piano economico finanziario approvato rappresenteranno una spesa ammissibile nella misura in cui la posta finanziaria allocata corrisponda a lavori/forniture effettivamente realizzati comprovati da pagamenti interamente eseguiti ed idonei documenti giustificativi della spesa.</w:t>
                  </w:r>
                </w:p>
                <w:p w:rsidR="00F6757C" w:rsidRPr="00F6757C" w:rsidRDefault="00F6757C" w:rsidP="009D12E8">
                  <w:pPr>
                    <w:pStyle w:val="TableParagraph"/>
                    <w:spacing w:before="1" w:line="240" w:lineRule="auto"/>
                    <w:ind w:left="415" w:right="93" w:hanging="233"/>
                    <w:jc w:val="both"/>
                    <w:rPr>
                      <w:rFonts w:ascii="Arial" w:hAnsi="Arial" w:cs="Arial"/>
                      <w:i/>
                      <w:sz w:val="16"/>
                      <w:szCs w:val="16"/>
                    </w:rPr>
                  </w:pPr>
                </w:p>
                <w:p w:rsidR="009D12E8" w:rsidRPr="00F6757C" w:rsidRDefault="009D12E8" w:rsidP="009D12E8">
                  <w:pPr>
                    <w:pStyle w:val="TableParagraph"/>
                    <w:spacing w:before="1" w:line="240" w:lineRule="auto"/>
                    <w:ind w:left="415" w:right="93" w:hanging="233"/>
                    <w:jc w:val="both"/>
                    <w:rPr>
                      <w:rFonts w:ascii="Arial" w:hAnsi="Arial" w:cs="Arial"/>
                      <w:i/>
                    </w:rPr>
                  </w:pPr>
                  <w:r w:rsidRPr="00F6757C">
                    <w:rPr>
                      <w:rFonts w:ascii="Arial" w:hAnsi="Arial" w:cs="Arial"/>
                      <w:i/>
                    </w:rPr>
                    <w:t>(2 bis) I lavori in amministrazione diretta sono effettuati con materiali e mezzi propri o appositamente acquistati o noleggiati, e con personale proprio della Stazione appaltante, anche assunto per l’occasione, sotto la direzione del Responsabile Unico. Per l’acquisto e per il noleggio di mezzi si applicano comunque le procedure di affidamento previste dal Codic</w:t>
                  </w:r>
                  <w:r w:rsidR="0008539E" w:rsidRPr="00F6757C">
                    <w:rPr>
                      <w:rFonts w:ascii="Arial" w:hAnsi="Arial" w:cs="Arial"/>
                      <w:i/>
                    </w:rPr>
                    <w:t>e, che</w:t>
                  </w:r>
                  <w:r w:rsidRPr="00F6757C">
                    <w:rPr>
                      <w:rFonts w:ascii="Arial" w:hAnsi="Arial" w:cs="Arial"/>
                      <w:i/>
                    </w:rPr>
                    <w:t xml:space="preserve"> non contiene un riferimento specifico ai lavori/servizi da realizzare in amministrazione diretta, tranne che per l’art. 37, comma 2, ultimo periodo, del </w:t>
                  </w:r>
                  <w:proofErr w:type="spellStart"/>
                  <w:proofErr w:type="gramStart"/>
                  <w:r w:rsidRPr="00F6757C">
                    <w:rPr>
                      <w:rFonts w:ascii="Arial" w:hAnsi="Arial" w:cs="Arial"/>
                      <w:i/>
                    </w:rPr>
                    <w:t>D.Lgs</w:t>
                  </w:r>
                  <w:proofErr w:type="gramEnd"/>
                  <w:r w:rsidRPr="00F6757C">
                    <w:rPr>
                      <w:rFonts w:ascii="Arial" w:hAnsi="Arial" w:cs="Arial"/>
                      <w:i/>
                    </w:rPr>
                    <w:t>.</w:t>
                  </w:r>
                  <w:proofErr w:type="spellEnd"/>
                  <w:r w:rsidRPr="00F6757C">
                    <w:rPr>
                      <w:rFonts w:ascii="Arial" w:hAnsi="Arial" w:cs="Arial"/>
                      <w:i/>
                    </w:rPr>
                    <w:t xml:space="preserve"> </w:t>
                  </w:r>
                  <w:r w:rsidR="00705C7C">
                    <w:rPr>
                      <w:rFonts w:ascii="Arial" w:hAnsi="Arial" w:cs="Arial"/>
                      <w:i/>
                    </w:rPr>
                    <w:t xml:space="preserve">n. </w:t>
                  </w:r>
                  <w:r w:rsidRPr="00F6757C">
                    <w:rPr>
                      <w:rFonts w:ascii="Arial" w:hAnsi="Arial" w:cs="Arial"/>
                      <w:i/>
                    </w:rPr>
                    <w:t xml:space="preserve">36/2023, solo allo scopo di escludere l’inserimento di tale attività nella programmazione. </w:t>
                  </w:r>
                </w:p>
                <w:p w:rsidR="009D12E8" w:rsidRPr="00F6757C" w:rsidRDefault="009D12E8" w:rsidP="009D12E8">
                  <w:pPr>
                    <w:ind w:left="420" w:right="53"/>
                    <w:jc w:val="both"/>
                    <w:rPr>
                      <w:rFonts w:ascii="Arial" w:eastAsia="Calibri" w:hAnsi="Arial" w:cs="Arial"/>
                      <w:i/>
                    </w:rPr>
                  </w:pPr>
                  <w:r w:rsidRPr="00F6757C">
                    <w:rPr>
                      <w:rFonts w:ascii="Arial" w:eastAsia="Calibri" w:hAnsi="Arial" w:cs="Arial"/>
                      <w:i/>
                    </w:rPr>
                    <w:t xml:space="preserve">Al solo fine di fornire indicazioni utili che siano di supporto all'operato delle SA, si riporta di seguito quanto contenuto nel Parere MIT n.2235/2023 e nella Delibera n. 585 del 19 dicembre 2023 dell’ANAC in relazione alla fattispecie di lavori di che trattasi, evidenziando che tali provvedimenti non hanno, comunque, valenza di </w:t>
                  </w:r>
                  <w:r w:rsidR="0008539E" w:rsidRPr="00F6757C">
                    <w:rPr>
                      <w:rFonts w:ascii="Arial" w:eastAsia="Calibri" w:hAnsi="Arial" w:cs="Arial"/>
                      <w:i/>
                    </w:rPr>
                    <w:t>l</w:t>
                  </w:r>
                  <w:r w:rsidRPr="00F6757C">
                    <w:rPr>
                      <w:rFonts w:ascii="Arial" w:eastAsia="Calibri" w:hAnsi="Arial" w:cs="Arial"/>
                      <w:i/>
                    </w:rPr>
                    <w:t xml:space="preserve">egge.   </w:t>
                  </w:r>
                </w:p>
                <w:p w:rsidR="009D12E8" w:rsidRPr="00F6757C" w:rsidRDefault="009D12E8" w:rsidP="009D12E8">
                  <w:pPr>
                    <w:ind w:left="420" w:right="53"/>
                    <w:jc w:val="both"/>
                    <w:rPr>
                      <w:rFonts w:ascii="Arial" w:eastAsia="Calibri" w:hAnsi="Arial" w:cs="Arial"/>
                      <w:i/>
                    </w:rPr>
                  </w:pPr>
                  <w:r w:rsidRPr="00F6757C">
                    <w:rPr>
                      <w:rFonts w:ascii="Arial" w:eastAsia="Calibri" w:hAnsi="Arial" w:cs="Arial"/>
                      <w:i/>
                    </w:rPr>
                    <w:t>Il Parere MIT n.2235/2023, dopo aver richiamati l’art. 37, comma 2, ultimo periodo, e il principio di auto organizzazione amministrativa sancito dall’art. 7, comma 1, del nuovo Codice dei contratti, in base al quale “</w:t>
                  </w:r>
                  <w:r w:rsidRPr="00F6757C">
                    <w:rPr>
                      <w:rFonts w:ascii="Arial" w:eastAsia="Calibri" w:hAnsi="Arial" w:cs="Arial"/>
                    </w:rPr>
                    <w:t>Le pubbliche amministrazioni organizzano autonomamente l’esecuzione di lavori o la prestazione di beni e servizi attraverso l’auto-produzione, l’esternalizzazione e la cooperazione nel rispetto della disciplina del codice e del diritto dell’Unione europea</w:t>
                  </w:r>
                  <w:r w:rsidRPr="00F6757C">
                    <w:rPr>
                      <w:rFonts w:ascii="Arial" w:eastAsia="Calibri" w:hAnsi="Arial" w:cs="Arial"/>
                      <w:i/>
                    </w:rPr>
                    <w:t xml:space="preserve">”, afferma che permane la facoltà di realizzare lavori e servizi in amministrazione diretta, trattandosi di una forma di auto-produzione alternativa all’affidamento in </w:t>
                  </w:r>
                  <w:proofErr w:type="spellStart"/>
                  <w:r w:rsidRPr="00F6757C">
                    <w:rPr>
                      <w:rFonts w:ascii="Arial" w:eastAsia="Calibri" w:hAnsi="Arial" w:cs="Arial"/>
                      <w:i/>
                    </w:rPr>
                    <w:t>house</w:t>
                  </w:r>
                  <w:proofErr w:type="spellEnd"/>
                  <w:r w:rsidRPr="00F6757C">
                    <w:rPr>
                      <w:rFonts w:ascii="Arial" w:eastAsia="Calibri" w:hAnsi="Arial" w:cs="Arial"/>
                      <w:i/>
                    </w:rPr>
                    <w:t xml:space="preserve">. In assenza di soglie di importo, la realizzazione di lavori e servizi in amministrazione diretta potrà essere disposta compatibilmente con i requisiti di idoneità organizzativa e di organico posseduti dalla stazione appaltante. </w:t>
                  </w:r>
                </w:p>
                <w:p w:rsidR="009D12E8" w:rsidRPr="00F6757C" w:rsidRDefault="009D12E8" w:rsidP="009D12E8">
                  <w:pPr>
                    <w:ind w:left="420" w:right="53"/>
                    <w:jc w:val="both"/>
                    <w:rPr>
                      <w:rFonts w:ascii="Arial" w:eastAsia="Calibri" w:hAnsi="Arial" w:cs="Arial"/>
                      <w:i/>
                    </w:rPr>
                  </w:pPr>
                  <w:r w:rsidRPr="00F6757C">
                    <w:rPr>
                      <w:rFonts w:ascii="Arial" w:eastAsia="Calibri" w:hAnsi="Arial" w:cs="Arial"/>
                      <w:i/>
                    </w:rPr>
                    <w:lastRenderedPageBreak/>
                    <w:t>Con la delibera n. 585 del 19 dicembre 2023, in aggiornamento della determinazione n. 4 del 7 luglio 2011, recante "</w:t>
                  </w:r>
                  <w:r w:rsidRPr="00F6757C">
                    <w:rPr>
                      <w:rFonts w:ascii="Arial" w:eastAsia="Calibri" w:hAnsi="Arial" w:cs="Arial"/>
                    </w:rPr>
                    <w:t>Linee guida sulla tracciabilità dei flussi finanziari ai sensi dell'articolo 3 della legge 13 agosto 2010, n. 136</w:t>
                  </w:r>
                  <w:r w:rsidRPr="00F6757C">
                    <w:rPr>
                      <w:rFonts w:ascii="Arial" w:eastAsia="Calibri" w:hAnsi="Arial" w:cs="Arial"/>
                      <w:i/>
                    </w:rPr>
                    <w:t xml:space="preserve">", </w:t>
                  </w:r>
                  <w:proofErr w:type="spellStart"/>
                  <w:r w:rsidRPr="00F6757C">
                    <w:rPr>
                      <w:rFonts w:ascii="Arial" w:eastAsia="Calibri" w:hAnsi="Arial" w:cs="Arial"/>
                      <w:i/>
                    </w:rPr>
                    <w:t>l’Anac</w:t>
                  </w:r>
                  <w:proofErr w:type="spellEnd"/>
                  <w:r w:rsidRPr="00F6757C">
                    <w:rPr>
                      <w:rFonts w:ascii="Arial" w:eastAsia="Calibri" w:hAnsi="Arial" w:cs="Arial"/>
                      <w:i/>
                    </w:rPr>
                    <w:t xml:space="preserve"> ha fornito nuove indicazioni sulla tracciabilità dei flussi finanziari delle stazioni appaltanti a seguito dell’entrata in vigore del decreto legislativo 31/3/2023, n. 36. In linea generale, la ratio delle norme dettate dalla legge 136/2010 è quella di prevenire infiltrazioni malavitose e di contrastare le imprese che, per la loro contiguità con la criminalità organizzata, operano in modo irregolare ed anticoncorrenziale. A tal fine, tra l'altro, la legge prevede che i flussi finanziari collegati ad un contratto di appalto di lavori, servizi o forniture, debbano essere tracciati, in modo tale che ogni incasso e pagamento possa essere controllato ex post. In questo senso, la modifica alla determinazione n. 4/2011 ha il fine di aggiornare i riferimenti normativi ivi contenuti e le indicazioni fornite alle nuove disposizioni del </w:t>
                  </w:r>
                  <w:r w:rsidR="0008539E" w:rsidRPr="00F6757C">
                    <w:rPr>
                      <w:rFonts w:ascii="Arial" w:eastAsia="Calibri" w:hAnsi="Arial" w:cs="Arial"/>
                      <w:i/>
                    </w:rPr>
                    <w:t>C</w:t>
                  </w:r>
                  <w:r w:rsidRPr="00F6757C">
                    <w:rPr>
                      <w:rFonts w:ascii="Arial" w:eastAsia="Calibri" w:hAnsi="Arial" w:cs="Arial"/>
                      <w:i/>
                    </w:rPr>
                    <w:t>odice dei contratti pubblici, comprese le nuove norme in materia di digitalizzazione del ciclo di vita dei contratti pubblici. Nello specifico, al paragrafo 2.11, nel caso di prestazioni svolte in regime di amministrazione diretta, l'Autorità precisa che gli obblighi di tracciabilità non si applicano allo svolgimento di prestazioni di lavori, servizi e forniture nel caso in cui non vi sia passaggio di denaro in favore di terzi. Laddove, invece, siano effettuati acquisti di materiali o di beni oppure siano previsti affitti o noli, i pagamenti disposti in favore di terzi devono essere assoggettati a tracciabilità e, quindi, occorre acquisire il CIG.</w:t>
                  </w:r>
                </w:p>
                <w:p w:rsidR="00F6757C" w:rsidRPr="00F6757C" w:rsidRDefault="00F6757C" w:rsidP="000C6203">
                  <w:pPr>
                    <w:pStyle w:val="TableParagraph"/>
                    <w:spacing w:before="1" w:line="240" w:lineRule="auto"/>
                    <w:ind w:left="415" w:right="93" w:hanging="233"/>
                    <w:jc w:val="both"/>
                    <w:rPr>
                      <w:rFonts w:ascii="Arial" w:hAnsi="Arial" w:cs="Arial"/>
                      <w:i/>
                      <w:sz w:val="16"/>
                      <w:szCs w:val="16"/>
                    </w:rPr>
                  </w:pPr>
                </w:p>
                <w:p w:rsidR="000C6203" w:rsidRPr="00F6757C" w:rsidRDefault="000C6203" w:rsidP="000C6203">
                  <w:pPr>
                    <w:pStyle w:val="TableParagraph"/>
                    <w:spacing w:before="1" w:line="240" w:lineRule="auto"/>
                    <w:ind w:left="415" w:right="93" w:hanging="233"/>
                    <w:jc w:val="both"/>
                    <w:rPr>
                      <w:rFonts w:ascii="Arial" w:hAnsi="Arial" w:cs="Arial"/>
                      <w:i/>
                    </w:rPr>
                  </w:pPr>
                  <w:r w:rsidRPr="00F6757C">
                    <w:rPr>
                      <w:rFonts w:ascii="Arial" w:hAnsi="Arial" w:cs="Arial"/>
                      <w:i/>
                    </w:rPr>
                    <w:t>(3) Come da piano particellare allegato al progetto. Tale voce non include gli oneri di esproprio ma solo gli indennizzi ed è comunque ammissibile alle condizioni ed entro i limiti stabiliti dalla normativa nazionale in materia di ammissibilità delle spese applicabile ai programmi cofinanziati dai fondi SIE 2014-2020.</w:t>
                  </w:r>
                </w:p>
                <w:p w:rsidR="00F6757C" w:rsidRPr="00F6757C" w:rsidRDefault="00F6757C" w:rsidP="000C6203">
                  <w:pPr>
                    <w:pStyle w:val="TableParagraph"/>
                    <w:tabs>
                      <w:tab w:val="left" w:pos="420"/>
                    </w:tabs>
                    <w:spacing w:before="1" w:line="240" w:lineRule="auto"/>
                    <w:ind w:left="415" w:right="93" w:hanging="233"/>
                    <w:jc w:val="both"/>
                    <w:rPr>
                      <w:rFonts w:ascii="Arial" w:hAnsi="Arial" w:cs="Arial"/>
                      <w:i/>
                      <w:sz w:val="16"/>
                      <w:szCs w:val="16"/>
                    </w:rPr>
                  </w:pPr>
                </w:p>
                <w:p w:rsidR="000C6203" w:rsidRPr="00F6757C" w:rsidRDefault="000C6203" w:rsidP="000C6203">
                  <w:pPr>
                    <w:pStyle w:val="TableParagraph"/>
                    <w:tabs>
                      <w:tab w:val="left" w:pos="420"/>
                    </w:tabs>
                    <w:spacing w:before="1" w:line="240" w:lineRule="auto"/>
                    <w:ind w:left="415" w:right="93" w:hanging="233"/>
                    <w:jc w:val="both"/>
                    <w:rPr>
                      <w:rFonts w:ascii="Arial" w:hAnsi="Arial" w:cs="Arial"/>
                      <w:i/>
                    </w:rPr>
                  </w:pPr>
                  <w:r w:rsidRPr="00F6757C">
                    <w:rPr>
                      <w:rFonts w:ascii="Arial" w:hAnsi="Arial" w:cs="Arial"/>
                      <w:i/>
                    </w:rPr>
                    <w:t>(4) Le spese per pubblicità possono includere anche le spese relative all’applicazione dei cartelloni o delle targhe previsti:</w:t>
                  </w:r>
                </w:p>
                <w:p w:rsidR="000C6203" w:rsidRPr="00F6757C" w:rsidRDefault="000C6203" w:rsidP="000C6203">
                  <w:pPr>
                    <w:pStyle w:val="TableParagraph"/>
                    <w:tabs>
                      <w:tab w:val="left" w:pos="420"/>
                    </w:tabs>
                    <w:spacing w:before="1" w:line="240" w:lineRule="auto"/>
                    <w:ind w:left="415" w:right="93" w:firstLine="5"/>
                    <w:jc w:val="both"/>
                    <w:rPr>
                      <w:rFonts w:ascii="Arial" w:hAnsi="Arial" w:cs="Arial"/>
                      <w:i/>
                    </w:rPr>
                  </w:pPr>
                  <w:r w:rsidRPr="00F6757C">
                    <w:rPr>
                      <w:rFonts w:ascii="Arial" w:hAnsi="Arial" w:cs="Arial"/>
                      <w:i/>
                    </w:rPr>
                    <w:t xml:space="preserve">-  per le operazioni finanziate sul PO FESR Basilicata 2014-2020 dall’allegato XII del Regolamento Ue 1303/2013, da realizzare conformemente alle indicazioni contenute nel Manuale d’uso “Linea grafica Por </w:t>
                  </w:r>
                  <w:proofErr w:type="spellStart"/>
                  <w:r w:rsidRPr="00F6757C">
                    <w:rPr>
                      <w:rFonts w:ascii="Arial" w:hAnsi="Arial" w:cs="Arial"/>
                      <w:i/>
                    </w:rPr>
                    <w:t>Fesr</w:t>
                  </w:r>
                  <w:proofErr w:type="spellEnd"/>
                  <w:r w:rsidRPr="00F6757C">
                    <w:rPr>
                      <w:rFonts w:ascii="Arial" w:hAnsi="Arial" w:cs="Arial"/>
                      <w:i/>
                    </w:rPr>
                    <w:t xml:space="preserve"> Basilicata 2014-2020” adottato con la D.G.R. n. 1260 dell’8 novembre 2016;</w:t>
                  </w:r>
                </w:p>
                <w:p w:rsidR="000C6203" w:rsidRPr="00F6757C" w:rsidRDefault="000C6203" w:rsidP="000C6203">
                  <w:pPr>
                    <w:pStyle w:val="TableParagraph"/>
                    <w:tabs>
                      <w:tab w:val="left" w:pos="420"/>
                    </w:tabs>
                    <w:spacing w:before="1" w:line="240" w:lineRule="auto"/>
                    <w:ind w:left="415" w:right="93" w:firstLine="5"/>
                    <w:jc w:val="both"/>
                    <w:rPr>
                      <w:rFonts w:ascii="Arial" w:hAnsi="Arial" w:cs="Arial"/>
                      <w:i/>
                    </w:rPr>
                  </w:pPr>
                  <w:r w:rsidRPr="00F6757C">
                    <w:rPr>
                      <w:rFonts w:ascii="Arial" w:hAnsi="Arial" w:cs="Arial"/>
                      <w:i/>
                    </w:rPr>
                    <w:t xml:space="preserve">- per le operazioni finanziate sul POC Basilicata 2014-2020 e su FESR/POC Basilicata 2014-2020 dalla nota dell’Ufficio Autorità di Gestione dei Programmi FESR Basilicata 2014-2020 </w:t>
                  </w:r>
                  <w:proofErr w:type="spellStart"/>
                  <w:r w:rsidRPr="00F6757C">
                    <w:rPr>
                      <w:rFonts w:ascii="Arial" w:hAnsi="Arial" w:cs="Arial"/>
                      <w:i/>
                    </w:rPr>
                    <w:t>prot</w:t>
                  </w:r>
                  <w:proofErr w:type="spellEnd"/>
                  <w:r w:rsidRPr="00F6757C">
                    <w:rPr>
                      <w:rFonts w:ascii="Arial" w:hAnsi="Arial" w:cs="Arial"/>
                      <w:i/>
                    </w:rPr>
                    <w:t>. n. 0123381 del 28/05/2024 (PO FESR 2014-2020 e POC 2014-2020 – Rispetto obblighi di comunicazione e informazione – Disposizioni).</w:t>
                  </w:r>
                </w:p>
                <w:p w:rsidR="00F6757C" w:rsidRPr="00F6757C" w:rsidRDefault="00F6757C" w:rsidP="000C6203">
                  <w:pPr>
                    <w:spacing w:after="40"/>
                    <w:ind w:left="358" w:hanging="154"/>
                    <w:jc w:val="both"/>
                    <w:rPr>
                      <w:rFonts w:ascii="Arial" w:eastAsia="Calibri" w:hAnsi="Arial" w:cs="Arial"/>
                      <w:i/>
                      <w:sz w:val="16"/>
                      <w:szCs w:val="16"/>
                    </w:rPr>
                  </w:pPr>
                </w:p>
                <w:p w:rsidR="000C6203" w:rsidRPr="00F6757C" w:rsidRDefault="000C6203" w:rsidP="000C6203">
                  <w:pPr>
                    <w:spacing w:after="40"/>
                    <w:ind w:left="358" w:hanging="154"/>
                    <w:jc w:val="both"/>
                    <w:rPr>
                      <w:rFonts w:ascii="Arial" w:hAnsi="Arial" w:cs="Arial"/>
                    </w:rPr>
                  </w:pPr>
                  <w:r w:rsidRPr="00F6757C">
                    <w:rPr>
                      <w:rFonts w:ascii="Arial" w:eastAsia="Calibri" w:hAnsi="Arial" w:cs="Arial"/>
                      <w:i/>
                    </w:rPr>
                    <w:t>(</w:t>
                  </w:r>
                  <w:r w:rsidRPr="00F6757C">
                    <w:rPr>
                      <w:rFonts w:ascii="Arial" w:hAnsi="Arial" w:cs="Arial"/>
                      <w:i/>
                    </w:rPr>
                    <w:t>5</w:t>
                  </w:r>
                  <w:r w:rsidRPr="00F6757C">
                    <w:rPr>
                      <w:rFonts w:ascii="Arial" w:eastAsia="Calibri" w:hAnsi="Arial" w:cs="Arial"/>
                      <w:i/>
                    </w:rPr>
                    <w:t>)</w:t>
                  </w:r>
                  <w:r w:rsidRPr="00F6757C">
                    <w:rPr>
                      <w:rFonts w:ascii="Arial" w:hAnsi="Arial" w:cs="Arial"/>
                      <w:i/>
                    </w:rPr>
                    <w:t xml:space="preserve"> La Legge 29 luglio 1949, n. 717 “Norme per l'arte negli edifici pubblici” (come modificata dall'art. 47, comma 1, lettere a)-b), legge n. 27 del 2012) all’art. 1 stabilisce che “</w:t>
                  </w:r>
                  <w:r w:rsidRPr="00F6757C">
                    <w:rPr>
                      <w:rFonts w:ascii="Arial" w:hAnsi="Arial" w:cs="Arial"/>
                    </w:rPr>
                    <w:t>le Amministrazioni dello Stato, anche con ordinamento autonomo, nonché le Regioni, le Province, i Comuni e tutti gli altri Enti pubblici, che provvedano all’esecuzione di nuove costruzioni di edifici pubblici devono destinare all’abbellimento di essi, mediante opere d’arte, una quota della spesa totale prevista nel progetto non inferiore alle seguenti percentuali:</w:t>
                  </w:r>
                </w:p>
                <w:p w:rsidR="000C6203" w:rsidRPr="00F6757C" w:rsidRDefault="000C6203" w:rsidP="000C6203">
                  <w:pPr>
                    <w:spacing w:after="40"/>
                    <w:ind w:left="358" w:firstLine="62"/>
                    <w:jc w:val="both"/>
                    <w:rPr>
                      <w:rFonts w:ascii="Arial" w:hAnsi="Arial" w:cs="Arial"/>
                    </w:rPr>
                  </w:pPr>
                  <w:r w:rsidRPr="00F6757C">
                    <w:rPr>
                      <w:rFonts w:ascii="Arial" w:hAnsi="Arial" w:cs="Arial"/>
                    </w:rPr>
                    <w:t>- due per cento per gli importi pari o superiori ad un milione di euro ed inferiore a cinque milioni di euro;</w:t>
                  </w:r>
                </w:p>
                <w:p w:rsidR="000C6203" w:rsidRPr="00F6757C" w:rsidRDefault="000C6203" w:rsidP="000C6203">
                  <w:pPr>
                    <w:spacing w:after="40"/>
                    <w:ind w:left="358" w:firstLine="62"/>
                    <w:jc w:val="both"/>
                    <w:rPr>
                      <w:rFonts w:ascii="Arial" w:hAnsi="Arial" w:cs="Arial"/>
                    </w:rPr>
                  </w:pPr>
                  <w:r w:rsidRPr="00F6757C">
                    <w:rPr>
                      <w:rFonts w:ascii="Arial" w:hAnsi="Arial" w:cs="Arial"/>
                    </w:rPr>
                    <w:lastRenderedPageBreak/>
                    <w:t>- un per cento per gli importi pari o superiori a cinque milioni di euro ed inferiore a venti milioni;</w:t>
                  </w:r>
                </w:p>
                <w:p w:rsidR="000C6203" w:rsidRPr="00F6757C" w:rsidRDefault="000C6203" w:rsidP="000C6203">
                  <w:pPr>
                    <w:spacing w:after="40"/>
                    <w:ind w:left="358" w:firstLine="62"/>
                    <w:jc w:val="both"/>
                    <w:rPr>
                      <w:rFonts w:ascii="Arial" w:hAnsi="Arial" w:cs="Arial"/>
                    </w:rPr>
                  </w:pPr>
                  <w:r w:rsidRPr="00F6757C">
                    <w:rPr>
                      <w:rFonts w:ascii="Arial" w:hAnsi="Arial" w:cs="Arial"/>
                    </w:rPr>
                    <w:t>- 0,5 per cento per gli importi pari o superiori a venti milioni di euro.</w:t>
                  </w:r>
                </w:p>
                <w:p w:rsidR="000C6203" w:rsidRPr="00F6757C" w:rsidRDefault="000C6203" w:rsidP="000C6203">
                  <w:pPr>
                    <w:ind w:left="358"/>
                    <w:jc w:val="both"/>
                    <w:rPr>
                      <w:rFonts w:ascii="Arial" w:hAnsi="Arial" w:cs="Arial"/>
                      <w:i/>
                    </w:rPr>
                  </w:pPr>
                  <w:r w:rsidRPr="00F6757C">
                    <w:rPr>
                      <w:rFonts w:ascii="Arial" w:hAnsi="Arial" w:cs="Arial"/>
                    </w:rPr>
                    <w:t>Sono escluse da tale obbligo le costruzioni e ricostruzioni di edifici destinati ad uso industriale o di edilizia residenziale pubblica, sia di uso civile che militare, nonché gli edifici a qualsiasi uso destinati, che importino una spesa non superiore a un milione di euro</w:t>
                  </w:r>
                  <w:r w:rsidRPr="00F6757C">
                    <w:rPr>
                      <w:rFonts w:ascii="Arial" w:hAnsi="Arial" w:cs="Arial"/>
                      <w:i/>
                    </w:rPr>
                    <w:t>”.</w:t>
                  </w:r>
                </w:p>
                <w:p w:rsidR="000C6203" w:rsidRPr="00F6757C" w:rsidRDefault="000C6203" w:rsidP="000C6203">
                  <w:pPr>
                    <w:ind w:left="358"/>
                    <w:jc w:val="both"/>
                    <w:rPr>
                      <w:rFonts w:ascii="Arial" w:eastAsia="Calibri" w:hAnsi="Arial" w:cs="Arial"/>
                      <w:i/>
                    </w:rPr>
                  </w:pPr>
                  <w:r w:rsidRPr="00F6757C">
                    <w:rPr>
                      <w:rFonts w:ascii="Arial" w:eastAsia="Calibri" w:hAnsi="Arial" w:cs="Arial"/>
                      <w:i/>
                    </w:rPr>
                    <w:t>L’art.1 non è, inoltre, applicabile all'edilizia scolastica ex art. 9 legge n. 412 del 1975, universitaria ex art. unico Legge n. 54 del 1979, sanitaria ex art. 3, comma 6, D.L. 2 ottobre 1993, n. 396 convertito in legge con modificazioni dalla Legge n. 492 del 1993.</w:t>
                  </w:r>
                </w:p>
                <w:p w:rsidR="00F6757C" w:rsidRPr="00F6757C" w:rsidRDefault="00F6757C" w:rsidP="000C6203">
                  <w:pPr>
                    <w:pStyle w:val="TableParagraph"/>
                    <w:tabs>
                      <w:tab w:val="left" w:pos="420"/>
                    </w:tabs>
                    <w:spacing w:before="1" w:line="240" w:lineRule="auto"/>
                    <w:ind w:left="415" w:right="93" w:hanging="225"/>
                    <w:jc w:val="both"/>
                    <w:rPr>
                      <w:rFonts w:ascii="Arial" w:hAnsi="Arial" w:cs="Arial"/>
                      <w:i/>
                      <w:sz w:val="16"/>
                      <w:szCs w:val="16"/>
                    </w:rPr>
                  </w:pPr>
                </w:p>
                <w:p w:rsidR="000C6203" w:rsidRPr="00F6757C" w:rsidRDefault="000C6203" w:rsidP="000C6203">
                  <w:pPr>
                    <w:pStyle w:val="TableParagraph"/>
                    <w:tabs>
                      <w:tab w:val="left" w:pos="420"/>
                    </w:tabs>
                    <w:spacing w:before="1" w:line="240" w:lineRule="auto"/>
                    <w:ind w:left="415" w:right="93" w:hanging="225"/>
                    <w:jc w:val="both"/>
                    <w:rPr>
                      <w:rFonts w:ascii="Arial" w:hAnsi="Arial" w:cs="Arial"/>
                      <w:i/>
                    </w:rPr>
                  </w:pPr>
                  <w:r w:rsidRPr="00F6757C">
                    <w:rPr>
                      <w:rFonts w:ascii="Arial" w:hAnsi="Arial" w:cs="Arial"/>
                      <w:i/>
                    </w:rPr>
                    <w:t xml:space="preserve">(6)  l’art. 2, comma 4, del citato d.lgs. 36/2023 </w:t>
                  </w:r>
                  <w:r w:rsidRPr="00F6757C">
                    <w:rPr>
                      <w:rFonts w:ascii="Arial" w:hAnsi="Arial" w:cs="Arial"/>
                    </w:rPr>
                    <w:t>«per promuovere la fiducia nell’azione legittima, trasparente e corretta dell’amministrazione, le stazioni appaltanti e gli enti concedenti adottano azioni per la copertura assicurativa dei rischi per il personale, nonché per riqualificare le stazioni appaltanti e per rafforzare e dare valore alle capacità professionali dei dipendenti, compresi i piani di formazione di cui all’articolo 15, comma 7».</w:t>
                  </w:r>
                </w:p>
                <w:p w:rsidR="000C6203" w:rsidRPr="00F6757C" w:rsidRDefault="000C6203" w:rsidP="000C6203">
                  <w:pPr>
                    <w:pStyle w:val="TableParagraph"/>
                    <w:tabs>
                      <w:tab w:val="left" w:pos="420"/>
                    </w:tabs>
                    <w:spacing w:before="1" w:line="240" w:lineRule="auto"/>
                    <w:ind w:left="415" w:right="93" w:firstLine="5"/>
                    <w:jc w:val="both"/>
                    <w:rPr>
                      <w:rFonts w:ascii="Arial" w:hAnsi="Arial" w:cs="Arial"/>
                      <w:i/>
                    </w:rPr>
                  </w:pPr>
                  <w:r w:rsidRPr="00F6757C">
                    <w:rPr>
                      <w:rFonts w:ascii="Arial" w:hAnsi="Arial" w:cs="Arial"/>
                      <w:i/>
                    </w:rPr>
                    <w:t xml:space="preserve">A sua volta, l’art. 45 del nuovo Codice, dedicato alla disciplina degli incentivi per funzioni tecniche stabilisce al comma 7, </w:t>
                  </w:r>
                  <w:proofErr w:type="spellStart"/>
                  <w:r w:rsidRPr="00F6757C">
                    <w:rPr>
                      <w:rFonts w:ascii="Arial" w:hAnsi="Arial" w:cs="Arial"/>
                      <w:i/>
                    </w:rPr>
                    <w:t>lett</w:t>
                  </w:r>
                  <w:proofErr w:type="spellEnd"/>
                  <w:r w:rsidRPr="00F6757C">
                    <w:rPr>
                      <w:rFonts w:ascii="Arial" w:hAnsi="Arial" w:cs="Arial"/>
                      <w:i/>
                    </w:rPr>
                    <w:t>. c), che</w:t>
                  </w:r>
                  <w:r w:rsidRPr="00F6757C">
                    <w:rPr>
                      <w:rFonts w:ascii="Arial" w:hAnsi="Arial" w:cs="Arial"/>
                    </w:rPr>
                    <w:t> «… una parte delle risorse di cui al comma 5 è in ogni caso utilizzata: […] c) per la copertura degli oneri di assicurazione obbligatoria del personale».</w:t>
                  </w:r>
                </w:p>
                <w:p w:rsidR="000C6203" w:rsidRPr="00F6757C" w:rsidRDefault="000C6203" w:rsidP="000C6203">
                  <w:pPr>
                    <w:pStyle w:val="TableParagraph"/>
                    <w:tabs>
                      <w:tab w:val="left" w:pos="420"/>
                    </w:tabs>
                    <w:spacing w:before="1" w:line="240" w:lineRule="auto"/>
                    <w:ind w:left="415" w:right="93" w:firstLine="5"/>
                    <w:jc w:val="both"/>
                    <w:rPr>
                      <w:rFonts w:ascii="Arial" w:hAnsi="Arial" w:cs="Arial"/>
                      <w:i/>
                    </w:rPr>
                  </w:pPr>
                  <w:r w:rsidRPr="00F6757C">
                    <w:rPr>
                      <w:rFonts w:ascii="Arial" w:hAnsi="Arial" w:cs="Arial"/>
                      <w:i/>
                    </w:rPr>
                    <w:t xml:space="preserve">All’art. 5, dell’Allegato I.7 del Codice, è previsto che nel quadro economico dell’intervento, tra le somme a disposizione della stazione appaltante, sono incluse (tra l’altro) le spese di cui al citato art. 45, commi 6 e 7. </w:t>
                  </w:r>
                </w:p>
                <w:p w:rsidR="000C6203" w:rsidRPr="00F6757C" w:rsidRDefault="000C6203" w:rsidP="000C6203">
                  <w:pPr>
                    <w:pStyle w:val="TableParagraph"/>
                    <w:tabs>
                      <w:tab w:val="left" w:pos="420"/>
                    </w:tabs>
                    <w:spacing w:before="1" w:line="240" w:lineRule="auto"/>
                    <w:ind w:left="415" w:right="93" w:firstLine="5"/>
                    <w:jc w:val="both"/>
                    <w:rPr>
                      <w:rFonts w:ascii="Arial" w:hAnsi="Arial" w:cs="Arial"/>
                      <w:i/>
                    </w:rPr>
                  </w:pPr>
                  <w:r w:rsidRPr="00F6757C">
                    <w:rPr>
                      <w:rFonts w:ascii="Arial" w:hAnsi="Arial" w:cs="Arial"/>
                      <w:i/>
                    </w:rPr>
                    <w:t>A parere di ANAC, in tema di polizze assicurative, le norme richiamate depongono quindi per la conferma, da parte dal legislatore, dell’obbligatorietà della stipula delle stesse per i progettisti interni, con spese a carico delle risorse indicate dall’art. 45 del Codice.</w:t>
                  </w:r>
                </w:p>
                <w:p w:rsidR="000C6203" w:rsidRPr="00F6757C" w:rsidRDefault="000C6203" w:rsidP="000C6203">
                  <w:pPr>
                    <w:pStyle w:val="TableParagraph"/>
                    <w:tabs>
                      <w:tab w:val="left" w:pos="420"/>
                    </w:tabs>
                    <w:spacing w:before="1" w:line="240" w:lineRule="auto"/>
                    <w:ind w:left="415" w:right="93" w:firstLine="5"/>
                    <w:jc w:val="both"/>
                    <w:rPr>
                      <w:rFonts w:ascii="Arial" w:hAnsi="Arial" w:cs="Arial"/>
                      <w:i/>
                    </w:rPr>
                  </w:pPr>
                  <w:r w:rsidRPr="00F6757C">
                    <w:rPr>
                      <w:rFonts w:ascii="Arial" w:hAnsi="Arial" w:cs="Arial"/>
                      <w:i/>
                    </w:rPr>
                    <w:t>Si</w:t>
                  </w:r>
                  <w:r w:rsidRPr="00F6757C">
                    <w:rPr>
                      <w:rFonts w:ascii="Arial" w:hAnsi="Arial" w:cs="Arial"/>
                      <w:i/>
                      <w:spacing w:val="1"/>
                    </w:rPr>
                    <w:t xml:space="preserve"> </w:t>
                  </w:r>
                  <w:r w:rsidRPr="00F6757C">
                    <w:rPr>
                      <w:rFonts w:ascii="Arial" w:hAnsi="Arial" w:cs="Arial"/>
                      <w:i/>
                    </w:rPr>
                    <w:t>precisa</w:t>
                  </w:r>
                  <w:r w:rsidRPr="00F6757C">
                    <w:rPr>
                      <w:rFonts w:ascii="Arial" w:hAnsi="Arial" w:cs="Arial"/>
                      <w:i/>
                      <w:spacing w:val="1"/>
                    </w:rPr>
                    <w:t xml:space="preserve"> </w:t>
                  </w:r>
                  <w:r w:rsidRPr="00F6757C">
                    <w:rPr>
                      <w:rFonts w:ascii="Arial" w:hAnsi="Arial" w:cs="Arial"/>
                      <w:i/>
                    </w:rPr>
                    <w:t>che</w:t>
                  </w:r>
                  <w:r w:rsidRPr="00F6757C">
                    <w:rPr>
                      <w:rFonts w:ascii="Arial" w:hAnsi="Arial" w:cs="Arial"/>
                      <w:i/>
                      <w:spacing w:val="1"/>
                    </w:rPr>
                    <w:t xml:space="preserve"> </w:t>
                  </w:r>
                  <w:r w:rsidRPr="00F6757C">
                    <w:rPr>
                      <w:rFonts w:ascii="Arial" w:hAnsi="Arial" w:cs="Arial"/>
                      <w:i/>
                    </w:rPr>
                    <w:t>le</w:t>
                  </w:r>
                  <w:r w:rsidRPr="00F6757C">
                    <w:rPr>
                      <w:rFonts w:ascii="Arial" w:hAnsi="Arial" w:cs="Arial"/>
                      <w:i/>
                      <w:spacing w:val="1"/>
                    </w:rPr>
                    <w:t xml:space="preserve"> </w:t>
                  </w:r>
                  <w:r w:rsidRPr="00F6757C">
                    <w:rPr>
                      <w:rFonts w:ascii="Arial" w:hAnsi="Arial" w:cs="Arial"/>
                      <w:i/>
                    </w:rPr>
                    <w:t>eventuali</w:t>
                  </w:r>
                  <w:r w:rsidRPr="00F6757C">
                    <w:rPr>
                      <w:rFonts w:ascii="Arial" w:hAnsi="Arial" w:cs="Arial"/>
                      <w:i/>
                      <w:spacing w:val="1"/>
                    </w:rPr>
                    <w:t xml:space="preserve"> </w:t>
                  </w:r>
                  <w:r w:rsidRPr="00F6757C">
                    <w:rPr>
                      <w:rFonts w:ascii="Arial" w:hAnsi="Arial" w:cs="Arial"/>
                      <w:i/>
                    </w:rPr>
                    <w:t>spese</w:t>
                  </w:r>
                  <w:r w:rsidRPr="00F6757C">
                    <w:rPr>
                      <w:rFonts w:ascii="Arial" w:hAnsi="Arial" w:cs="Arial"/>
                      <w:i/>
                      <w:spacing w:val="1"/>
                    </w:rPr>
                    <w:t xml:space="preserve"> </w:t>
                  </w:r>
                  <w:r w:rsidRPr="00F6757C">
                    <w:rPr>
                      <w:rFonts w:ascii="Arial" w:hAnsi="Arial" w:cs="Arial"/>
                      <w:i/>
                    </w:rPr>
                    <w:t>per</w:t>
                  </w:r>
                  <w:r w:rsidRPr="00F6757C">
                    <w:rPr>
                      <w:rFonts w:ascii="Arial" w:hAnsi="Arial" w:cs="Arial"/>
                      <w:i/>
                      <w:spacing w:val="1"/>
                    </w:rPr>
                    <w:t xml:space="preserve"> </w:t>
                  </w:r>
                  <w:r w:rsidRPr="00F6757C">
                    <w:rPr>
                      <w:rFonts w:ascii="Arial" w:hAnsi="Arial" w:cs="Arial"/>
                      <w:i/>
                    </w:rPr>
                    <w:t>l’assicurazione</w:t>
                  </w:r>
                  <w:r w:rsidRPr="00F6757C">
                    <w:rPr>
                      <w:rFonts w:ascii="Arial" w:hAnsi="Arial" w:cs="Arial"/>
                      <w:i/>
                      <w:spacing w:val="1"/>
                    </w:rPr>
                    <w:t xml:space="preserve"> </w:t>
                  </w:r>
                  <w:r w:rsidRPr="00F6757C">
                    <w:rPr>
                      <w:rFonts w:ascii="Arial" w:hAnsi="Arial" w:cs="Arial"/>
                      <w:i/>
                    </w:rPr>
                    <w:t>dei</w:t>
                  </w:r>
                  <w:r w:rsidRPr="00F6757C">
                    <w:rPr>
                      <w:rFonts w:ascii="Arial" w:hAnsi="Arial" w:cs="Arial"/>
                      <w:i/>
                      <w:spacing w:val="1"/>
                    </w:rPr>
                    <w:t xml:space="preserve"> </w:t>
                  </w:r>
                  <w:r w:rsidRPr="00F6757C">
                    <w:rPr>
                      <w:rFonts w:ascii="Arial" w:hAnsi="Arial" w:cs="Arial"/>
                      <w:i/>
                    </w:rPr>
                    <w:t>dipendenti</w:t>
                  </w:r>
                  <w:r w:rsidRPr="00F6757C">
                    <w:rPr>
                      <w:rFonts w:ascii="Arial" w:hAnsi="Arial" w:cs="Arial"/>
                      <w:i/>
                      <w:spacing w:val="1"/>
                    </w:rPr>
                    <w:t xml:space="preserve"> </w:t>
                  </w:r>
                  <w:r w:rsidRPr="00F6757C">
                    <w:rPr>
                      <w:rFonts w:ascii="Arial" w:hAnsi="Arial" w:cs="Arial"/>
                      <w:i/>
                    </w:rPr>
                    <w:t>sono</w:t>
                  </w:r>
                  <w:r w:rsidRPr="00F6757C">
                    <w:rPr>
                      <w:rFonts w:ascii="Arial" w:hAnsi="Arial" w:cs="Arial"/>
                      <w:i/>
                      <w:spacing w:val="1"/>
                    </w:rPr>
                    <w:t xml:space="preserve"> </w:t>
                  </w:r>
                  <w:r w:rsidRPr="00F6757C">
                    <w:rPr>
                      <w:rFonts w:ascii="Arial" w:hAnsi="Arial" w:cs="Arial"/>
                      <w:i/>
                    </w:rPr>
                    <w:t>ammissibili pro quota per il solo importo attribuibile all’operazione oggetto di ammissione a</w:t>
                  </w:r>
                  <w:r w:rsidRPr="00F6757C">
                    <w:rPr>
                      <w:rFonts w:ascii="Arial" w:hAnsi="Arial" w:cs="Arial"/>
                      <w:i/>
                      <w:spacing w:val="1"/>
                    </w:rPr>
                    <w:t xml:space="preserve"> </w:t>
                  </w:r>
                  <w:r w:rsidRPr="00F6757C">
                    <w:rPr>
                      <w:rFonts w:ascii="Arial" w:hAnsi="Arial" w:cs="Arial"/>
                      <w:i/>
                    </w:rPr>
                    <w:t>finanziamento</w:t>
                  </w:r>
                  <w:r w:rsidRPr="00F6757C">
                    <w:rPr>
                      <w:rFonts w:ascii="Arial" w:hAnsi="Arial" w:cs="Arial"/>
                      <w:i/>
                      <w:spacing w:val="-1"/>
                    </w:rPr>
                    <w:t xml:space="preserve"> </w:t>
                  </w:r>
                  <w:r w:rsidRPr="00F6757C">
                    <w:rPr>
                      <w:rFonts w:ascii="Arial" w:hAnsi="Arial" w:cs="Arial"/>
                      <w:i/>
                    </w:rPr>
                    <w:t>a valere</w:t>
                  </w:r>
                  <w:r w:rsidRPr="00F6757C">
                    <w:rPr>
                      <w:rFonts w:ascii="Arial" w:hAnsi="Arial" w:cs="Arial"/>
                      <w:i/>
                      <w:spacing w:val="-3"/>
                    </w:rPr>
                    <w:t xml:space="preserve"> </w:t>
                  </w:r>
                  <w:r w:rsidRPr="00F6757C">
                    <w:rPr>
                      <w:rFonts w:ascii="Arial" w:hAnsi="Arial" w:cs="Arial"/>
                      <w:i/>
                    </w:rPr>
                    <w:t>sul</w:t>
                  </w:r>
                  <w:r w:rsidRPr="00F6757C">
                    <w:rPr>
                      <w:rFonts w:ascii="Arial" w:hAnsi="Arial" w:cs="Arial"/>
                      <w:i/>
                      <w:spacing w:val="-2"/>
                    </w:rPr>
                    <w:t xml:space="preserve"> </w:t>
                  </w:r>
                  <w:r w:rsidRPr="00F6757C">
                    <w:rPr>
                      <w:rFonts w:ascii="Arial" w:hAnsi="Arial" w:cs="Arial"/>
                      <w:i/>
                    </w:rPr>
                    <w:t xml:space="preserve">Por </w:t>
                  </w:r>
                  <w:proofErr w:type="spellStart"/>
                  <w:r w:rsidRPr="00F6757C">
                    <w:rPr>
                      <w:rFonts w:ascii="Arial" w:hAnsi="Arial" w:cs="Arial"/>
                      <w:i/>
                    </w:rPr>
                    <w:t>Fesr</w:t>
                  </w:r>
                  <w:proofErr w:type="spellEnd"/>
                  <w:r w:rsidRPr="00F6757C">
                    <w:rPr>
                      <w:rFonts w:ascii="Arial" w:hAnsi="Arial" w:cs="Arial"/>
                      <w:i/>
                      <w:spacing w:val="-1"/>
                    </w:rPr>
                    <w:t xml:space="preserve"> </w:t>
                  </w:r>
                  <w:r w:rsidRPr="00F6757C">
                    <w:rPr>
                      <w:rFonts w:ascii="Arial" w:hAnsi="Arial" w:cs="Arial"/>
                      <w:i/>
                    </w:rPr>
                    <w:t>2014-2020 e/o POC Basilicata 2014-2020.</w:t>
                  </w:r>
                </w:p>
                <w:p w:rsidR="00F6757C" w:rsidRPr="00F6757C" w:rsidRDefault="00F6757C" w:rsidP="000C6203">
                  <w:pPr>
                    <w:pStyle w:val="TableParagraph"/>
                    <w:tabs>
                      <w:tab w:val="left" w:pos="420"/>
                    </w:tabs>
                    <w:spacing w:before="1" w:line="240" w:lineRule="auto"/>
                    <w:ind w:left="415" w:right="93" w:hanging="233"/>
                    <w:jc w:val="both"/>
                    <w:rPr>
                      <w:rFonts w:ascii="Arial" w:hAnsi="Arial" w:cs="Arial"/>
                      <w:i/>
                      <w:sz w:val="16"/>
                      <w:szCs w:val="16"/>
                    </w:rPr>
                  </w:pPr>
                </w:p>
                <w:p w:rsidR="000C6203" w:rsidRDefault="000C6203" w:rsidP="00F6757C">
                  <w:pPr>
                    <w:pStyle w:val="TableParagraph"/>
                    <w:numPr>
                      <w:ilvl w:val="0"/>
                      <w:numId w:val="6"/>
                    </w:numPr>
                    <w:tabs>
                      <w:tab w:val="left" w:pos="420"/>
                    </w:tabs>
                    <w:spacing w:before="1" w:line="240" w:lineRule="auto"/>
                    <w:ind w:right="93"/>
                    <w:jc w:val="both"/>
                    <w:rPr>
                      <w:rFonts w:ascii="Arial" w:hAnsi="Arial" w:cs="Arial"/>
                      <w:i/>
                    </w:rPr>
                  </w:pPr>
                  <w:r w:rsidRPr="00F6757C">
                    <w:rPr>
                      <w:rFonts w:ascii="Arial" w:hAnsi="Arial" w:cs="Arial"/>
                      <w:i/>
                    </w:rPr>
                    <w:t>Non risultano ammissibili gli importi di cui al comma 5 dell’art. 45 del Codice. L’art. 45 comma 5 del Codice stabilisce che il 20% delle risorse finanziarie di cui al</w:t>
                  </w:r>
                  <w:r w:rsidR="0008539E" w:rsidRPr="00F6757C">
                    <w:rPr>
                      <w:rFonts w:ascii="Arial" w:hAnsi="Arial" w:cs="Arial"/>
                      <w:i/>
                    </w:rPr>
                    <w:t>l’</w:t>
                  </w:r>
                  <w:r w:rsidRPr="00F6757C">
                    <w:rPr>
                      <w:rFonts w:ascii="Arial" w:hAnsi="Arial" w:cs="Arial"/>
                      <w:i/>
                    </w:rPr>
                    <w:t xml:space="preserve"> art. 45 - comma 2 sia destinato ai fini di cui ai commi 6 e 7, </w:t>
                  </w:r>
                  <w:r w:rsidRPr="00F6757C">
                    <w:rPr>
                      <w:rFonts w:ascii="Arial" w:hAnsi="Arial" w:cs="Arial"/>
                      <w:i/>
                      <w:u w:val="single"/>
                    </w:rPr>
                    <w:t>escludendo le risorse che derivano da finanziamenti europei o da altri finanziamenti a destinazione vincolata (quali ad esempio quelli del POC Basilicata 2014-2020)</w:t>
                  </w:r>
                  <w:r w:rsidRPr="00F6757C">
                    <w:rPr>
                      <w:rFonts w:ascii="Arial" w:hAnsi="Arial" w:cs="Arial"/>
                      <w:i/>
                    </w:rPr>
                    <w:t>.</w:t>
                  </w:r>
                </w:p>
                <w:p w:rsidR="00F6757C" w:rsidRPr="00F6757C" w:rsidRDefault="00F6757C" w:rsidP="00F6757C">
                  <w:pPr>
                    <w:pStyle w:val="TableParagraph"/>
                    <w:tabs>
                      <w:tab w:val="left" w:pos="420"/>
                    </w:tabs>
                    <w:spacing w:before="1" w:line="240" w:lineRule="auto"/>
                    <w:ind w:left="426" w:right="93"/>
                    <w:jc w:val="both"/>
                    <w:rPr>
                      <w:rFonts w:ascii="Arial" w:hAnsi="Arial" w:cs="Arial"/>
                      <w:i/>
                      <w:sz w:val="16"/>
                      <w:szCs w:val="16"/>
                    </w:rPr>
                  </w:pPr>
                </w:p>
                <w:p w:rsidR="000C6203" w:rsidRDefault="000C6203" w:rsidP="000C6203">
                  <w:pPr>
                    <w:pStyle w:val="TableParagraph"/>
                    <w:numPr>
                      <w:ilvl w:val="0"/>
                      <w:numId w:val="6"/>
                    </w:numPr>
                    <w:tabs>
                      <w:tab w:val="left" w:pos="403"/>
                    </w:tabs>
                    <w:spacing w:before="1" w:line="240" w:lineRule="auto"/>
                    <w:ind w:right="53" w:hanging="320"/>
                    <w:jc w:val="both"/>
                    <w:rPr>
                      <w:rFonts w:ascii="Arial" w:hAnsi="Arial" w:cs="Arial"/>
                      <w:i/>
                    </w:rPr>
                  </w:pPr>
                  <w:r w:rsidRPr="00F6757C">
                    <w:rPr>
                      <w:rFonts w:ascii="Arial" w:hAnsi="Arial" w:cs="Arial"/>
                      <w:i/>
                    </w:rPr>
                    <w:t>Importi ammissibili a finanziamento nella misura in cui corrisponderanno a lavori/forniture effettivamente realizzati comprovati da pagamenti interamente eseguiti ed idonei documenti giustificativi della spesa.</w:t>
                  </w:r>
                </w:p>
                <w:p w:rsidR="00F6757C" w:rsidRPr="00F6757C" w:rsidRDefault="00F6757C" w:rsidP="00F6757C">
                  <w:pPr>
                    <w:pStyle w:val="TableParagraph"/>
                    <w:tabs>
                      <w:tab w:val="left" w:pos="403"/>
                    </w:tabs>
                    <w:spacing w:before="1" w:line="240" w:lineRule="auto"/>
                    <w:ind w:left="0" w:right="53"/>
                    <w:jc w:val="both"/>
                    <w:rPr>
                      <w:rFonts w:ascii="Arial" w:hAnsi="Arial" w:cs="Arial"/>
                      <w:i/>
                      <w:sz w:val="16"/>
                      <w:szCs w:val="16"/>
                    </w:rPr>
                  </w:pPr>
                </w:p>
                <w:p w:rsidR="000C6203" w:rsidRPr="00F6757C" w:rsidRDefault="000C6203" w:rsidP="000C6203">
                  <w:pPr>
                    <w:pStyle w:val="TableParagraph"/>
                    <w:numPr>
                      <w:ilvl w:val="0"/>
                      <w:numId w:val="6"/>
                    </w:numPr>
                    <w:tabs>
                      <w:tab w:val="left" w:pos="403"/>
                    </w:tabs>
                    <w:spacing w:before="1" w:line="240" w:lineRule="auto"/>
                    <w:ind w:right="53" w:hanging="320"/>
                    <w:jc w:val="both"/>
                    <w:rPr>
                      <w:rFonts w:ascii="Arial" w:hAnsi="Arial" w:cs="Arial"/>
                      <w:i/>
                    </w:rPr>
                  </w:pPr>
                  <w:r w:rsidRPr="00F6757C">
                    <w:rPr>
                      <w:rFonts w:ascii="Arial" w:hAnsi="Arial" w:cs="Arial"/>
                      <w:i/>
                    </w:rPr>
                    <w:t xml:space="preserve"> Il</w:t>
                  </w:r>
                  <w:r w:rsidRPr="00F6757C">
                    <w:rPr>
                      <w:rFonts w:ascii="Arial" w:hAnsi="Arial" w:cs="Arial"/>
                      <w:i/>
                      <w:spacing w:val="31"/>
                    </w:rPr>
                    <w:t xml:space="preserve"> </w:t>
                  </w:r>
                  <w:r w:rsidRPr="00F6757C">
                    <w:rPr>
                      <w:rFonts w:ascii="Arial" w:hAnsi="Arial" w:cs="Arial"/>
                      <w:i/>
                    </w:rPr>
                    <w:t>limite</w:t>
                  </w:r>
                  <w:r w:rsidRPr="00F6757C">
                    <w:rPr>
                      <w:rFonts w:ascii="Arial" w:hAnsi="Arial" w:cs="Arial"/>
                      <w:i/>
                      <w:spacing w:val="31"/>
                    </w:rPr>
                    <w:t xml:space="preserve"> </w:t>
                  </w:r>
                  <w:r w:rsidRPr="00F6757C">
                    <w:rPr>
                      <w:rFonts w:ascii="Arial" w:hAnsi="Arial" w:cs="Arial"/>
                      <w:i/>
                    </w:rPr>
                    <w:t>massimo</w:t>
                  </w:r>
                  <w:r w:rsidRPr="00F6757C">
                    <w:rPr>
                      <w:rFonts w:ascii="Arial" w:hAnsi="Arial" w:cs="Arial"/>
                      <w:i/>
                      <w:spacing w:val="33"/>
                    </w:rPr>
                    <w:t xml:space="preserve"> </w:t>
                  </w:r>
                  <w:r w:rsidRPr="00F6757C">
                    <w:rPr>
                      <w:rFonts w:ascii="Arial" w:hAnsi="Arial" w:cs="Arial"/>
                      <w:i/>
                    </w:rPr>
                    <w:t>del</w:t>
                  </w:r>
                  <w:r w:rsidRPr="00F6757C">
                    <w:rPr>
                      <w:rFonts w:ascii="Arial" w:hAnsi="Arial" w:cs="Arial"/>
                      <w:i/>
                      <w:spacing w:val="33"/>
                    </w:rPr>
                    <w:t xml:space="preserve"> </w:t>
                  </w:r>
                  <w:r w:rsidRPr="00F6757C">
                    <w:rPr>
                      <w:rFonts w:ascii="Arial" w:hAnsi="Arial" w:cs="Arial"/>
                      <w:i/>
                    </w:rPr>
                    <w:t>contributo</w:t>
                  </w:r>
                  <w:r w:rsidRPr="00F6757C">
                    <w:rPr>
                      <w:rFonts w:ascii="Arial" w:hAnsi="Arial" w:cs="Arial"/>
                      <w:i/>
                      <w:spacing w:val="33"/>
                    </w:rPr>
                    <w:t xml:space="preserve"> </w:t>
                  </w:r>
                  <w:r w:rsidRPr="00F6757C">
                    <w:rPr>
                      <w:rFonts w:ascii="Arial" w:hAnsi="Arial" w:cs="Arial"/>
                      <w:i/>
                    </w:rPr>
                    <w:t>del</w:t>
                  </w:r>
                  <w:r w:rsidRPr="00F6757C">
                    <w:rPr>
                      <w:rFonts w:ascii="Arial" w:hAnsi="Arial" w:cs="Arial"/>
                      <w:i/>
                      <w:spacing w:val="33"/>
                    </w:rPr>
                    <w:t xml:space="preserve"> </w:t>
                  </w:r>
                  <w:r w:rsidRPr="00F6757C">
                    <w:rPr>
                      <w:rFonts w:ascii="Arial" w:hAnsi="Arial" w:cs="Arial"/>
                      <w:i/>
                    </w:rPr>
                    <w:t>PO</w:t>
                  </w:r>
                  <w:r w:rsidRPr="00F6757C">
                    <w:rPr>
                      <w:rFonts w:ascii="Arial" w:hAnsi="Arial" w:cs="Arial"/>
                      <w:i/>
                      <w:spacing w:val="32"/>
                    </w:rPr>
                    <w:t xml:space="preserve"> </w:t>
                  </w:r>
                  <w:r w:rsidRPr="00F6757C">
                    <w:rPr>
                      <w:rFonts w:ascii="Arial" w:hAnsi="Arial" w:cs="Arial"/>
                      <w:i/>
                    </w:rPr>
                    <w:t>FESR</w:t>
                  </w:r>
                  <w:r w:rsidRPr="00F6757C">
                    <w:rPr>
                      <w:rFonts w:ascii="Arial" w:hAnsi="Arial" w:cs="Arial"/>
                      <w:i/>
                      <w:spacing w:val="33"/>
                    </w:rPr>
                    <w:t xml:space="preserve"> </w:t>
                  </w:r>
                  <w:r w:rsidRPr="00F6757C">
                    <w:rPr>
                      <w:rFonts w:ascii="Arial" w:hAnsi="Arial" w:cs="Arial"/>
                      <w:i/>
                    </w:rPr>
                    <w:t>Basilicata</w:t>
                  </w:r>
                  <w:r w:rsidRPr="00F6757C">
                    <w:rPr>
                      <w:rFonts w:ascii="Arial" w:hAnsi="Arial" w:cs="Arial"/>
                      <w:i/>
                      <w:spacing w:val="33"/>
                    </w:rPr>
                    <w:t xml:space="preserve"> </w:t>
                  </w:r>
                  <w:r w:rsidRPr="00F6757C">
                    <w:rPr>
                      <w:rFonts w:ascii="Arial" w:hAnsi="Arial" w:cs="Arial"/>
                      <w:i/>
                    </w:rPr>
                    <w:t>2014-2020 e/o POC Basilicata 2014/2020</w:t>
                  </w:r>
                  <w:r w:rsidRPr="00F6757C">
                    <w:rPr>
                      <w:rFonts w:ascii="Arial" w:hAnsi="Arial" w:cs="Arial"/>
                      <w:i/>
                      <w:spacing w:val="33"/>
                    </w:rPr>
                    <w:t xml:space="preserve"> </w:t>
                  </w:r>
                  <w:r w:rsidRPr="00F6757C">
                    <w:rPr>
                      <w:rFonts w:ascii="Arial" w:hAnsi="Arial" w:cs="Arial"/>
                      <w:i/>
                    </w:rPr>
                    <w:t>concedibile</w:t>
                  </w:r>
                  <w:r w:rsidRPr="00F6757C">
                    <w:rPr>
                      <w:rFonts w:ascii="Arial" w:hAnsi="Arial" w:cs="Arial"/>
                      <w:i/>
                      <w:spacing w:val="33"/>
                    </w:rPr>
                    <w:t xml:space="preserve"> </w:t>
                  </w:r>
                  <w:r w:rsidRPr="00F6757C">
                    <w:rPr>
                      <w:rFonts w:ascii="Arial" w:hAnsi="Arial" w:cs="Arial"/>
                      <w:i/>
                    </w:rPr>
                    <w:t>per</w:t>
                  </w:r>
                  <w:r w:rsidRPr="00F6757C">
                    <w:rPr>
                      <w:rFonts w:ascii="Arial" w:hAnsi="Arial" w:cs="Arial"/>
                      <w:i/>
                      <w:spacing w:val="33"/>
                    </w:rPr>
                    <w:t xml:space="preserve"> </w:t>
                  </w:r>
                  <w:r w:rsidRPr="00F6757C">
                    <w:rPr>
                      <w:rFonts w:ascii="Arial" w:hAnsi="Arial" w:cs="Arial"/>
                      <w:i/>
                    </w:rPr>
                    <w:t>le</w:t>
                  </w:r>
                  <w:r w:rsidRPr="00F6757C">
                    <w:rPr>
                      <w:rFonts w:ascii="Arial" w:hAnsi="Arial" w:cs="Arial"/>
                      <w:i/>
                      <w:spacing w:val="33"/>
                    </w:rPr>
                    <w:t xml:space="preserve"> </w:t>
                  </w:r>
                  <w:r w:rsidRPr="00F6757C">
                    <w:rPr>
                      <w:rFonts w:ascii="Arial" w:hAnsi="Arial" w:cs="Arial"/>
                      <w:i/>
                    </w:rPr>
                    <w:t>“</w:t>
                  </w:r>
                  <w:r w:rsidRPr="00F6757C">
                    <w:rPr>
                      <w:rFonts w:ascii="Arial" w:hAnsi="Arial" w:cs="Arial"/>
                    </w:rPr>
                    <w:t>spese connesse all’attuazione e gestione dell’appalto</w:t>
                  </w:r>
                  <w:r w:rsidRPr="00F6757C">
                    <w:rPr>
                      <w:rFonts w:ascii="Arial" w:hAnsi="Arial" w:cs="Arial"/>
                      <w:i/>
                    </w:rPr>
                    <w:t>” (spese del punto 10 dalla lettera a)</w:t>
                  </w:r>
                  <w:r w:rsidRPr="00F6757C">
                    <w:rPr>
                      <w:rFonts w:ascii="Arial" w:hAnsi="Arial" w:cs="Arial"/>
                      <w:i/>
                      <w:spacing w:val="15"/>
                    </w:rPr>
                    <w:t xml:space="preserve"> </w:t>
                  </w:r>
                  <w:r w:rsidRPr="00F6757C">
                    <w:rPr>
                      <w:rFonts w:ascii="Arial" w:hAnsi="Arial" w:cs="Arial"/>
                      <w:i/>
                    </w:rPr>
                    <w:t>alla</w:t>
                  </w:r>
                  <w:r w:rsidRPr="00F6757C">
                    <w:rPr>
                      <w:rFonts w:ascii="Arial" w:hAnsi="Arial" w:cs="Arial"/>
                      <w:i/>
                      <w:spacing w:val="14"/>
                    </w:rPr>
                    <w:t xml:space="preserve"> </w:t>
                  </w:r>
                  <w:r w:rsidRPr="00F6757C">
                    <w:rPr>
                      <w:rFonts w:ascii="Arial" w:hAnsi="Arial" w:cs="Arial"/>
                      <w:i/>
                    </w:rPr>
                    <w:t>lettera i)</w:t>
                  </w:r>
                  <w:r w:rsidRPr="00F6757C">
                    <w:rPr>
                      <w:rFonts w:ascii="Arial" w:hAnsi="Arial" w:cs="Arial"/>
                      <w:i/>
                      <w:spacing w:val="38"/>
                    </w:rPr>
                    <w:t xml:space="preserve"> </w:t>
                  </w:r>
                  <w:r w:rsidRPr="00F6757C">
                    <w:rPr>
                      <w:rFonts w:ascii="Arial" w:hAnsi="Arial" w:cs="Arial"/>
                      <w:i/>
                    </w:rPr>
                    <w:t>è</w:t>
                  </w:r>
                  <w:r w:rsidRPr="00F6757C">
                    <w:rPr>
                      <w:rFonts w:ascii="Arial" w:hAnsi="Arial" w:cs="Arial"/>
                      <w:i/>
                      <w:spacing w:val="38"/>
                    </w:rPr>
                    <w:t xml:space="preserve"> </w:t>
                  </w:r>
                  <w:r w:rsidRPr="00F6757C">
                    <w:rPr>
                      <w:rFonts w:ascii="Arial" w:hAnsi="Arial" w:cs="Arial"/>
                      <w:i/>
                    </w:rPr>
                    <w:t>pari</w:t>
                  </w:r>
                  <w:r w:rsidRPr="00F6757C">
                    <w:rPr>
                      <w:rFonts w:ascii="Arial" w:hAnsi="Arial" w:cs="Arial"/>
                      <w:i/>
                      <w:spacing w:val="37"/>
                    </w:rPr>
                    <w:t xml:space="preserve"> </w:t>
                  </w:r>
                  <w:r w:rsidRPr="00F6757C">
                    <w:rPr>
                      <w:rFonts w:ascii="Arial" w:hAnsi="Arial" w:cs="Arial"/>
                      <w:i/>
                    </w:rPr>
                    <w:t>ad</w:t>
                  </w:r>
                  <w:r w:rsidRPr="00F6757C">
                    <w:rPr>
                      <w:rFonts w:ascii="Arial" w:hAnsi="Arial" w:cs="Arial"/>
                      <w:i/>
                      <w:spacing w:val="37"/>
                    </w:rPr>
                    <w:t xml:space="preserve"> </w:t>
                  </w:r>
                  <w:r w:rsidRPr="00F6757C">
                    <w:rPr>
                      <w:rFonts w:ascii="Arial" w:hAnsi="Arial" w:cs="Arial"/>
                      <w:i/>
                      <w:u w:val="single"/>
                    </w:rPr>
                    <w:t>una</w:t>
                  </w:r>
                  <w:r w:rsidRPr="00F6757C">
                    <w:rPr>
                      <w:rFonts w:ascii="Arial" w:hAnsi="Arial" w:cs="Arial"/>
                      <w:i/>
                      <w:spacing w:val="37"/>
                      <w:u w:val="single"/>
                    </w:rPr>
                    <w:t xml:space="preserve"> </w:t>
                  </w:r>
                  <w:r w:rsidRPr="00F6757C">
                    <w:rPr>
                      <w:rFonts w:ascii="Arial" w:hAnsi="Arial" w:cs="Arial"/>
                      <w:i/>
                      <w:u w:val="single"/>
                    </w:rPr>
                    <w:t>percentuale</w:t>
                  </w:r>
                  <w:r w:rsidRPr="00F6757C">
                    <w:rPr>
                      <w:rFonts w:ascii="Arial" w:hAnsi="Arial" w:cs="Arial"/>
                      <w:i/>
                      <w:spacing w:val="38"/>
                      <w:u w:val="single"/>
                    </w:rPr>
                    <w:t xml:space="preserve"> </w:t>
                  </w:r>
                  <w:r w:rsidRPr="00F6757C">
                    <w:rPr>
                      <w:rFonts w:ascii="Arial" w:hAnsi="Arial" w:cs="Arial"/>
                      <w:i/>
                      <w:u w:val="single"/>
                    </w:rPr>
                    <w:t>dell’importo</w:t>
                  </w:r>
                  <w:r w:rsidRPr="00F6757C">
                    <w:rPr>
                      <w:rFonts w:ascii="Arial" w:hAnsi="Arial" w:cs="Arial"/>
                      <w:i/>
                      <w:spacing w:val="35"/>
                      <w:u w:val="single"/>
                    </w:rPr>
                    <w:t xml:space="preserve"> </w:t>
                  </w:r>
                  <w:r w:rsidRPr="00F6757C">
                    <w:rPr>
                      <w:rFonts w:ascii="Arial" w:hAnsi="Arial" w:cs="Arial"/>
                      <w:i/>
                      <w:u w:val="single"/>
                    </w:rPr>
                    <w:t>dei</w:t>
                  </w:r>
                  <w:r w:rsidRPr="00F6757C">
                    <w:rPr>
                      <w:rFonts w:ascii="Arial" w:hAnsi="Arial" w:cs="Arial"/>
                      <w:i/>
                      <w:spacing w:val="38"/>
                      <w:u w:val="single"/>
                    </w:rPr>
                    <w:t xml:space="preserve"> </w:t>
                  </w:r>
                  <w:r w:rsidRPr="00F6757C">
                    <w:rPr>
                      <w:rFonts w:ascii="Arial" w:hAnsi="Arial" w:cs="Arial"/>
                      <w:i/>
                      <w:u w:val="single"/>
                    </w:rPr>
                    <w:t>lavori</w:t>
                  </w:r>
                  <w:r w:rsidRPr="00F6757C">
                    <w:rPr>
                      <w:rFonts w:ascii="Arial" w:hAnsi="Arial" w:cs="Arial"/>
                      <w:i/>
                      <w:spacing w:val="35"/>
                      <w:u w:val="single"/>
                    </w:rPr>
                    <w:t xml:space="preserve"> </w:t>
                  </w:r>
                  <w:r w:rsidRPr="00F6757C">
                    <w:rPr>
                      <w:rFonts w:ascii="Arial" w:hAnsi="Arial" w:cs="Arial"/>
                      <w:i/>
                      <w:u w:val="single"/>
                    </w:rPr>
                    <w:t>a</w:t>
                  </w:r>
                  <w:r w:rsidRPr="00F6757C">
                    <w:rPr>
                      <w:rFonts w:ascii="Arial" w:hAnsi="Arial" w:cs="Arial"/>
                      <w:i/>
                      <w:spacing w:val="37"/>
                      <w:u w:val="single"/>
                    </w:rPr>
                    <w:t xml:space="preserve"> </w:t>
                  </w:r>
                  <w:r w:rsidRPr="00F6757C">
                    <w:rPr>
                      <w:rFonts w:ascii="Arial" w:hAnsi="Arial" w:cs="Arial"/>
                      <w:i/>
                      <w:u w:val="single"/>
                    </w:rPr>
                    <w:t>base</w:t>
                  </w:r>
                  <w:r w:rsidRPr="00F6757C">
                    <w:rPr>
                      <w:rFonts w:ascii="Arial" w:hAnsi="Arial" w:cs="Arial"/>
                      <w:i/>
                      <w:spacing w:val="38"/>
                      <w:u w:val="single"/>
                    </w:rPr>
                    <w:t xml:space="preserve"> </w:t>
                  </w:r>
                  <w:r w:rsidRPr="00F6757C">
                    <w:rPr>
                      <w:rFonts w:ascii="Arial" w:hAnsi="Arial" w:cs="Arial"/>
                      <w:i/>
                      <w:u w:val="single"/>
                    </w:rPr>
                    <w:t>d’asta</w:t>
                  </w:r>
                  <w:r w:rsidRPr="00F6757C">
                    <w:rPr>
                      <w:rFonts w:ascii="Arial" w:hAnsi="Arial" w:cs="Arial"/>
                      <w:i/>
                      <w:spacing w:val="37"/>
                      <w:u w:val="single"/>
                    </w:rPr>
                    <w:t xml:space="preserve"> </w:t>
                  </w:r>
                  <w:r w:rsidRPr="00F6757C">
                    <w:rPr>
                      <w:rFonts w:ascii="Arial" w:hAnsi="Arial" w:cs="Arial"/>
                      <w:i/>
                      <w:u w:val="single"/>
                    </w:rPr>
                    <w:t>comprensivo</w:t>
                  </w:r>
                  <w:r w:rsidRPr="00F6757C">
                    <w:rPr>
                      <w:rFonts w:ascii="Arial" w:hAnsi="Arial" w:cs="Arial"/>
                      <w:i/>
                      <w:spacing w:val="37"/>
                      <w:u w:val="single"/>
                    </w:rPr>
                    <w:t xml:space="preserve"> </w:t>
                  </w:r>
                  <w:r w:rsidRPr="00F6757C">
                    <w:rPr>
                      <w:rFonts w:ascii="Arial" w:hAnsi="Arial" w:cs="Arial"/>
                      <w:i/>
                      <w:u w:val="single"/>
                    </w:rPr>
                    <w:t>di</w:t>
                  </w:r>
                  <w:r w:rsidRPr="00F6757C">
                    <w:rPr>
                      <w:rFonts w:ascii="Arial" w:hAnsi="Arial" w:cs="Arial"/>
                      <w:i/>
                      <w:spacing w:val="37"/>
                      <w:u w:val="single"/>
                    </w:rPr>
                    <w:t xml:space="preserve"> </w:t>
                  </w:r>
                  <w:r w:rsidRPr="00F6757C">
                    <w:rPr>
                      <w:rFonts w:ascii="Arial" w:hAnsi="Arial" w:cs="Arial"/>
                      <w:i/>
                      <w:u w:val="single"/>
                    </w:rPr>
                    <w:t>IVA</w:t>
                  </w:r>
                  <w:r w:rsidRPr="00F6757C">
                    <w:rPr>
                      <w:rFonts w:ascii="Arial" w:hAnsi="Arial" w:cs="Arial"/>
                      <w:i/>
                    </w:rPr>
                    <w:t>,</w:t>
                  </w:r>
                  <w:r w:rsidRPr="00F6757C">
                    <w:rPr>
                      <w:rFonts w:ascii="Arial" w:hAnsi="Arial" w:cs="Arial"/>
                      <w:i/>
                      <w:spacing w:val="37"/>
                    </w:rPr>
                    <w:t xml:space="preserve"> </w:t>
                  </w:r>
                  <w:r w:rsidRPr="00F6757C">
                    <w:rPr>
                      <w:rFonts w:ascii="Arial" w:hAnsi="Arial" w:cs="Arial"/>
                      <w:i/>
                    </w:rPr>
                    <w:t>così suddivisa:</w:t>
                  </w:r>
                </w:p>
                <w:p w:rsidR="000C6203" w:rsidRDefault="000C6203" w:rsidP="000C6203">
                  <w:pPr>
                    <w:pStyle w:val="TableParagraph"/>
                    <w:tabs>
                      <w:tab w:val="left" w:pos="420"/>
                    </w:tabs>
                    <w:spacing w:before="1" w:line="240" w:lineRule="auto"/>
                    <w:ind w:left="415" w:right="93" w:firstLine="5"/>
                    <w:jc w:val="both"/>
                    <w:rPr>
                      <w:rFonts w:ascii="Arial" w:hAnsi="Arial" w:cs="Arial"/>
                      <w:i/>
                    </w:rPr>
                  </w:pPr>
                </w:p>
                <w:p w:rsidR="00111496" w:rsidRDefault="00111496" w:rsidP="000C6203">
                  <w:pPr>
                    <w:pStyle w:val="TableParagraph"/>
                    <w:tabs>
                      <w:tab w:val="left" w:pos="420"/>
                    </w:tabs>
                    <w:spacing w:before="1" w:line="240" w:lineRule="auto"/>
                    <w:ind w:left="415" w:right="93" w:firstLine="5"/>
                    <w:jc w:val="both"/>
                    <w:rPr>
                      <w:rFonts w:ascii="Arial" w:hAnsi="Arial" w:cs="Arial"/>
                      <w:i/>
                    </w:rPr>
                  </w:pPr>
                </w:p>
                <w:p w:rsidR="00111496" w:rsidRPr="00F6757C" w:rsidRDefault="00111496" w:rsidP="000C6203">
                  <w:pPr>
                    <w:pStyle w:val="TableParagraph"/>
                    <w:tabs>
                      <w:tab w:val="left" w:pos="420"/>
                    </w:tabs>
                    <w:spacing w:before="1" w:line="240" w:lineRule="auto"/>
                    <w:ind w:left="415" w:right="93" w:firstLine="5"/>
                    <w:jc w:val="both"/>
                    <w:rPr>
                      <w:rFonts w:ascii="Arial" w:hAnsi="Arial" w:cs="Arial"/>
                      <w:i/>
                    </w:rPr>
                  </w:pPr>
                </w:p>
                <w:tbl>
                  <w:tblPr>
                    <w:tblStyle w:val="Grigliatabella"/>
                    <w:tblW w:w="0" w:type="auto"/>
                    <w:tblInd w:w="415" w:type="dxa"/>
                    <w:tblLook w:val="04A0" w:firstRow="1" w:lastRow="0" w:firstColumn="1" w:lastColumn="0" w:noHBand="0" w:noVBand="1"/>
                  </w:tblPr>
                  <w:tblGrid>
                    <w:gridCol w:w="3969"/>
                    <w:gridCol w:w="3160"/>
                  </w:tblGrid>
                  <w:tr w:rsidR="000C6203" w:rsidRPr="00F6757C" w:rsidTr="004041B3">
                    <w:tc>
                      <w:tcPr>
                        <w:tcW w:w="3969" w:type="dxa"/>
                        <w:vAlign w:val="center"/>
                      </w:tcPr>
                      <w:p w:rsidR="000C6203" w:rsidRPr="00F6757C" w:rsidRDefault="000C6203" w:rsidP="000C6203">
                        <w:pPr>
                          <w:pStyle w:val="TableParagraph"/>
                          <w:tabs>
                            <w:tab w:val="left" w:pos="420"/>
                          </w:tabs>
                          <w:spacing w:before="1" w:line="240" w:lineRule="auto"/>
                          <w:ind w:left="0" w:right="93"/>
                          <w:jc w:val="center"/>
                          <w:rPr>
                            <w:rFonts w:ascii="Arial" w:hAnsi="Arial" w:cs="Arial"/>
                            <w:b/>
                            <w:i/>
                          </w:rPr>
                        </w:pPr>
                        <w:r w:rsidRPr="00F6757C">
                          <w:rPr>
                            <w:rFonts w:ascii="Arial" w:hAnsi="Arial" w:cs="Arial"/>
                            <w:b/>
                            <w:i/>
                          </w:rPr>
                          <w:t>Importo dei lavori a base d’asta</w:t>
                        </w:r>
                      </w:p>
                    </w:tc>
                    <w:tc>
                      <w:tcPr>
                        <w:tcW w:w="3160" w:type="dxa"/>
                        <w:vAlign w:val="center"/>
                      </w:tcPr>
                      <w:p w:rsidR="000C6203" w:rsidRPr="00F6757C" w:rsidRDefault="000C6203" w:rsidP="000C6203">
                        <w:pPr>
                          <w:pStyle w:val="TableParagraph"/>
                          <w:tabs>
                            <w:tab w:val="left" w:pos="420"/>
                          </w:tabs>
                          <w:spacing w:before="1" w:line="240" w:lineRule="auto"/>
                          <w:ind w:left="0" w:right="93"/>
                          <w:jc w:val="center"/>
                          <w:rPr>
                            <w:rFonts w:ascii="Arial" w:hAnsi="Arial" w:cs="Arial"/>
                            <w:b/>
                            <w:i/>
                          </w:rPr>
                        </w:pPr>
                        <w:r w:rsidRPr="00F6757C">
                          <w:rPr>
                            <w:rFonts w:ascii="Arial" w:hAnsi="Arial" w:cs="Arial"/>
                            <w:b/>
                            <w:i/>
                          </w:rPr>
                          <w:t>% massima di contributo a titolo FESR</w:t>
                        </w:r>
                      </w:p>
                    </w:tc>
                  </w:tr>
                  <w:tr w:rsidR="000C6203" w:rsidRPr="00F6757C" w:rsidTr="004041B3">
                    <w:tc>
                      <w:tcPr>
                        <w:tcW w:w="3969" w:type="dxa"/>
                        <w:vAlign w:val="center"/>
                      </w:tcPr>
                      <w:p w:rsidR="000C6203" w:rsidRPr="00F6757C" w:rsidRDefault="000C6203" w:rsidP="000C6203">
                        <w:pPr>
                          <w:pStyle w:val="TableParagraph"/>
                          <w:tabs>
                            <w:tab w:val="left" w:pos="420"/>
                          </w:tabs>
                          <w:spacing w:before="1" w:line="240" w:lineRule="auto"/>
                          <w:ind w:left="0" w:right="93"/>
                          <w:jc w:val="center"/>
                          <w:rPr>
                            <w:rFonts w:ascii="Arial" w:hAnsi="Arial" w:cs="Arial"/>
                            <w:i/>
                          </w:rPr>
                        </w:pPr>
                        <w:r w:rsidRPr="00F6757C">
                          <w:rPr>
                            <w:rFonts w:ascii="Arial" w:hAnsi="Arial" w:cs="Arial"/>
                            <w:i/>
                          </w:rPr>
                          <w:t>Fino a 500.000,00 Euro</w:t>
                        </w:r>
                      </w:p>
                    </w:tc>
                    <w:tc>
                      <w:tcPr>
                        <w:tcW w:w="3160" w:type="dxa"/>
                        <w:vAlign w:val="center"/>
                      </w:tcPr>
                      <w:p w:rsidR="000C6203" w:rsidRPr="00F6757C" w:rsidRDefault="000C6203" w:rsidP="000C6203">
                        <w:pPr>
                          <w:pStyle w:val="TableParagraph"/>
                          <w:tabs>
                            <w:tab w:val="left" w:pos="420"/>
                          </w:tabs>
                          <w:spacing w:before="1" w:line="240" w:lineRule="auto"/>
                          <w:ind w:left="0" w:right="93"/>
                          <w:jc w:val="center"/>
                          <w:rPr>
                            <w:rFonts w:ascii="Arial" w:hAnsi="Arial" w:cs="Arial"/>
                            <w:i/>
                          </w:rPr>
                        </w:pPr>
                        <w:r w:rsidRPr="00F6757C">
                          <w:rPr>
                            <w:rFonts w:ascii="Arial" w:hAnsi="Arial" w:cs="Arial"/>
                            <w:i/>
                          </w:rPr>
                          <w:t>20%</w:t>
                        </w:r>
                      </w:p>
                    </w:tc>
                  </w:tr>
                  <w:tr w:rsidR="000C6203" w:rsidRPr="00F6757C" w:rsidTr="004041B3">
                    <w:tc>
                      <w:tcPr>
                        <w:tcW w:w="3969" w:type="dxa"/>
                        <w:vAlign w:val="center"/>
                      </w:tcPr>
                      <w:p w:rsidR="000C6203" w:rsidRPr="00F6757C" w:rsidRDefault="000C6203" w:rsidP="000C6203">
                        <w:pPr>
                          <w:pStyle w:val="TableParagraph"/>
                          <w:tabs>
                            <w:tab w:val="left" w:pos="420"/>
                          </w:tabs>
                          <w:spacing w:before="1" w:line="240" w:lineRule="auto"/>
                          <w:ind w:left="0" w:right="93"/>
                          <w:jc w:val="center"/>
                          <w:rPr>
                            <w:rFonts w:ascii="Arial" w:hAnsi="Arial" w:cs="Arial"/>
                            <w:i/>
                          </w:rPr>
                        </w:pPr>
                        <w:r w:rsidRPr="00F6757C">
                          <w:rPr>
                            <w:rFonts w:ascii="Arial" w:hAnsi="Arial" w:cs="Arial"/>
                            <w:i/>
                          </w:rPr>
                          <w:t>Da 500.000,01 a 2.500.000,00 Euro</w:t>
                        </w:r>
                      </w:p>
                    </w:tc>
                    <w:tc>
                      <w:tcPr>
                        <w:tcW w:w="3160" w:type="dxa"/>
                        <w:vAlign w:val="center"/>
                      </w:tcPr>
                      <w:p w:rsidR="000C6203" w:rsidRPr="00F6757C" w:rsidRDefault="000C6203" w:rsidP="000C6203">
                        <w:pPr>
                          <w:pStyle w:val="TableParagraph"/>
                          <w:tabs>
                            <w:tab w:val="left" w:pos="420"/>
                          </w:tabs>
                          <w:spacing w:before="1" w:line="240" w:lineRule="auto"/>
                          <w:ind w:left="0" w:right="93"/>
                          <w:jc w:val="center"/>
                          <w:rPr>
                            <w:rFonts w:ascii="Arial" w:hAnsi="Arial" w:cs="Arial"/>
                            <w:i/>
                          </w:rPr>
                        </w:pPr>
                        <w:r w:rsidRPr="00F6757C">
                          <w:rPr>
                            <w:rFonts w:ascii="Arial" w:hAnsi="Arial" w:cs="Arial"/>
                            <w:i/>
                          </w:rPr>
                          <w:t>18%**</w:t>
                        </w:r>
                      </w:p>
                    </w:tc>
                  </w:tr>
                  <w:tr w:rsidR="000C6203" w:rsidRPr="00F6757C" w:rsidTr="004041B3">
                    <w:tc>
                      <w:tcPr>
                        <w:tcW w:w="3969" w:type="dxa"/>
                        <w:vAlign w:val="center"/>
                      </w:tcPr>
                      <w:p w:rsidR="000C6203" w:rsidRPr="00F6757C" w:rsidRDefault="000C6203" w:rsidP="000C6203">
                        <w:pPr>
                          <w:pStyle w:val="TableParagraph"/>
                          <w:tabs>
                            <w:tab w:val="left" w:pos="420"/>
                          </w:tabs>
                          <w:spacing w:before="1" w:line="240" w:lineRule="auto"/>
                          <w:ind w:left="0" w:right="37"/>
                          <w:jc w:val="center"/>
                          <w:rPr>
                            <w:rFonts w:ascii="Arial" w:hAnsi="Arial" w:cs="Arial"/>
                            <w:i/>
                          </w:rPr>
                        </w:pPr>
                        <w:r w:rsidRPr="00F6757C">
                          <w:rPr>
                            <w:rFonts w:ascii="Arial" w:hAnsi="Arial" w:cs="Arial"/>
                            <w:i/>
                          </w:rPr>
                          <w:t xml:space="preserve">Da 2.500.000,01 Euro alla soglia per gli appalti di lavori pubblici di cui all’art. 14 del </w:t>
                        </w:r>
                        <w:proofErr w:type="spellStart"/>
                        <w:r w:rsidRPr="00F6757C">
                          <w:rPr>
                            <w:rFonts w:ascii="Arial" w:hAnsi="Arial" w:cs="Arial"/>
                            <w:i/>
                          </w:rPr>
                          <w:t>D.Lgs</w:t>
                        </w:r>
                        <w:proofErr w:type="spellEnd"/>
                        <w:r w:rsidRPr="00F6757C">
                          <w:rPr>
                            <w:rFonts w:ascii="Arial" w:hAnsi="Arial" w:cs="Arial"/>
                            <w:i/>
                          </w:rPr>
                          <w:t xml:space="preserve"> n. 36/2023</w:t>
                        </w:r>
                      </w:p>
                    </w:tc>
                    <w:tc>
                      <w:tcPr>
                        <w:tcW w:w="3160" w:type="dxa"/>
                        <w:vAlign w:val="center"/>
                      </w:tcPr>
                      <w:p w:rsidR="000C6203" w:rsidRPr="00F6757C" w:rsidRDefault="000C6203" w:rsidP="000C6203">
                        <w:pPr>
                          <w:pStyle w:val="TableParagraph"/>
                          <w:tabs>
                            <w:tab w:val="left" w:pos="420"/>
                          </w:tabs>
                          <w:spacing w:before="1" w:line="240" w:lineRule="auto"/>
                          <w:ind w:left="0" w:right="93"/>
                          <w:jc w:val="center"/>
                          <w:rPr>
                            <w:rFonts w:ascii="Arial" w:hAnsi="Arial" w:cs="Arial"/>
                            <w:i/>
                          </w:rPr>
                        </w:pPr>
                        <w:r w:rsidRPr="00F6757C">
                          <w:rPr>
                            <w:rFonts w:ascii="Arial" w:hAnsi="Arial" w:cs="Arial"/>
                            <w:i/>
                          </w:rPr>
                          <w:t>14%**</w:t>
                        </w:r>
                      </w:p>
                    </w:tc>
                  </w:tr>
                  <w:tr w:rsidR="000C6203" w:rsidRPr="00F6757C" w:rsidTr="004041B3">
                    <w:tc>
                      <w:tcPr>
                        <w:tcW w:w="3969" w:type="dxa"/>
                        <w:vAlign w:val="center"/>
                      </w:tcPr>
                      <w:p w:rsidR="000C6203" w:rsidRPr="00F6757C" w:rsidRDefault="000C6203" w:rsidP="000C6203">
                        <w:pPr>
                          <w:pStyle w:val="TableParagraph"/>
                          <w:tabs>
                            <w:tab w:val="left" w:pos="420"/>
                          </w:tabs>
                          <w:spacing w:before="1" w:line="240" w:lineRule="auto"/>
                          <w:ind w:left="0" w:right="93"/>
                          <w:jc w:val="center"/>
                          <w:rPr>
                            <w:rFonts w:ascii="Arial" w:hAnsi="Arial" w:cs="Arial"/>
                            <w:i/>
                          </w:rPr>
                        </w:pPr>
                        <w:r w:rsidRPr="00F6757C">
                          <w:rPr>
                            <w:rFonts w:ascii="Arial" w:hAnsi="Arial" w:cs="Arial"/>
                            <w:i/>
                          </w:rPr>
                          <w:t>Oltre la succitata soglia</w:t>
                        </w:r>
                      </w:p>
                    </w:tc>
                    <w:tc>
                      <w:tcPr>
                        <w:tcW w:w="3160" w:type="dxa"/>
                        <w:vAlign w:val="center"/>
                      </w:tcPr>
                      <w:p w:rsidR="000C6203" w:rsidRPr="00F6757C" w:rsidRDefault="000C6203" w:rsidP="000C6203">
                        <w:pPr>
                          <w:pStyle w:val="TableParagraph"/>
                          <w:tabs>
                            <w:tab w:val="left" w:pos="420"/>
                          </w:tabs>
                          <w:spacing w:before="1" w:line="240" w:lineRule="auto"/>
                          <w:ind w:left="0" w:right="93"/>
                          <w:jc w:val="center"/>
                          <w:rPr>
                            <w:rFonts w:ascii="Arial" w:hAnsi="Arial" w:cs="Arial"/>
                            <w:i/>
                          </w:rPr>
                        </w:pPr>
                        <w:r w:rsidRPr="00F6757C">
                          <w:rPr>
                            <w:rFonts w:ascii="Arial" w:hAnsi="Arial" w:cs="Arial"/>
                            <w:i/>
                          </w:rPr>
                          <w:t>13%**</w:t>
                        </w:r>
                      </w:p>
                    </w:tc>
                  </w:tr>
                </w:tbl>
                <w:p w:rsidR="000C6203" w:rsidRPr="00F6757C" w:rsidRDefault="000C6203" w:rsidP="000C6203">
                  <w:pPr>
                    <w:pStyle w:val="TableParagraph"/>
                    <w:tabs>
                      <w:tab w:val="left" w:pos="420"/>
                    </w:tabs>
                    <w:spacing w:before="1" w:line="240" w:lineRule="auto"/>
                    <w:ind w:left="415" w:right="93" w:firstLine="5"/>
                    <w:jc w:val="both"/>
                    <w:rPr>
                      <w:rFonts w:ascii="Arial" w:hAnsi="Arial" w:cs="Arial"/>
                      <w:i/>
                    </w:rPr>
                  </w:pPr>
                </w:p>
                <w:p w:rsidR="000C6203" w:rsidRPr="00F6757C" w:rsidRDefault="000C6203" w:rsidP="000C6203">
                  <w:pPr>
                    <w:pStyle w:val="TableParagraph"/>
                    <w:spacing w:line="240" w:lineRule="auto"/>
                    <w:ind w:left="419" w:right="96"/>
                    <w:jc w:val="both"/>
                    <w:rPr>
                      <w:rFonts w:ascii="Arial" w:hAnsi="Arial" w:cs="Arial"/>
                      <w:i/>
                    </w:rPr>
                  </w:pPr>
                  <w:r w:rsidRPr="00F6757C">
                    <w:rPr>
                      <w:rFonts w:ascii="Arial" w:hAnsi="Arial" w:cs="Arial"/>
                      <w:i/>
                    </w:rPr>
                    <w:t>**</w:t>
                  </w:r>
                  <w:r w:rsidRPr="00F6757C">
                    <w:rPr>
                      <w:rFonts w:ascii="Arial" w:hAnsi="Arial" w:cs="Arial"/>
                      <w:i/>
                      <w:spacing w:val="1"/>
                    </w:rPr>
                    <w:t xml:space="preserve"> </w:t>
                  </w:r>
                  <w:r w:rsidRPr="00F6757C">
                    <w:rPr>
                      <w:rFonts w:ascii="Arial" w:hAnsi="Arial" w:cs="Arial"/>
                      <w:i/>
                    </w:rPr>
                    <w:t>I</w:t>
                  </w:r>
                  <w:r w:rsidRPr="00F6757C">
                    <w:rPr>
                      <w:rFonts w:ascii="Arial" w:hAnsi="Arial" w:cs="Arial"/>
                      <w:i/>
                      <w:spacing w:val="1"/>
                    </w:rPr>
                    <w:t xml:space="preserve"> </w:t>
                  </w:r>
                  <w:r w:rsidRPr="00F6757C">
                    <w:rPr>
                      <w:rFonts w:ascii="Arial" w:hAnsi="Arial" w:cs="Arial"/>
                      <w:i/>
                    </w:rPr>
                    <w:t>suddetti</w:t>
                  </w:r>
                  <w:r w:rsidRPr="00F6757C">
                    <w:rPr>
                      <w:rFonts w:ascii="Arial" w:hAnsi="Arial" w:cs="Arial"/>
                      <w:i/>
                      <w:spacing w:val="1"/>
                    </w:rPr>
                    <w:t xml:space="preserve"> </w:t>
                  </w:r>
                  <w:r w:rsidRPr="00F6757C">
                    <w:rPr>
                      <w:rFonts w:ascii="Arial" w:hAnsi="Arial" w:cs="Arial"/>
                      <w:i/>
                    </w:rPr>
                    <w:t>limiti</w:t>
                  </w:r>
                  <w:r w:rsidRPr="00F6757C">
                    <w:rPr>
                      <w:rFonts w:ascii="Arial" w:hAnsi="Arial" w:cs="Arial"/>
                      <w:i/>
                      <w:spacing w:val="1"/>
                    </w:rPr>
                    <w:t xml:space="preserve"> </w:t>
                  </w:r>
                  <w:r w:rsidRPr="00F6757C">
                    <w:rPr>
                      <w:rFonts w:ascii="Arial" w:hAnsi="Arial" w:cs="Arial"/>
                      <w:i/>
                    </w:rPr>
                    <w:t>possono</w:t>
                  </w:r>
                  <w:r w:rsidRPr="00F6757C">
                    <w:rPr>
                      <w:rFonts w:ascii="Arial" w:hAnsi="Arial" w:cs="Arial"/>
                      <w:i/>
                      <w:spacing w:val="1"/>
                    </w:rPr>
                    <w:t xml:space="preserve"> </w:t>
                  </w:r>
                  <w:r w:rsidRPr="00F6757C">
                    <w:rPr>
                      <w:rFonts w:ascii="Arial" w:hAnsi="Arial" w:cs="Arial"/>
                      <w:i/>
                    </w:rPr>
                    <w:t>essere</w:t>
                  </w:r>
                  <w:r w:rsidRPr="00F6757C">
                    <w:rPr>
                      <w:rFonts w:ascii="Arial" w:hAnsi="Arial" w:cs="Arial"/>
                      <w:i/>
                      <w:spacing w:val="1"/>
                    </w:rPr>
                    <w:t xml:space="preserve"> </w:t>
                  </w:r>
                  <w:r w:rsidRPr="00F6757C">
                    <w:rPr>
                      <w:rFonts w:ascii="Arial" w:hAnsi="Arial" w:cs="Arial"/>
                      <w:i/>
                    </w:rPr>
                    <w:t>innalzati,</w:t>
                  </w:r>
                  <w:r w:rsidRPr="00F6757C">
                    <w:rPr>
                      <w:rFonts w:ascii="Arial" w:hAnsi="Arial" w:cs="Arial"/>
                      <w:i/>
                      <w:spacing w:val="1"/>
                    </w:rPr>
                    <w:t xml:space="preserve"> </w:t>
                  </w:r>
                  <w:r w:rsidRPr="00F6757C">
                    <w:rPr>
                      <w:rFonts w:ascii="Arial" w:hAnsi="Arial" w:cs="Arial"/>
                      <w:i/>
                    </w:rPr>
                    <w:t>non</w:t>
                  </w:r>
                  <w:r w:rsidRPr="00F6757C">
                    <w:rPr>
                      <w:rFonts w:ascii="Arial" w:hAnsi="Arial" w:cs="Arial"/>
                      <w:i/>
                      <w:spacing w:val="1"/>
                    </w:rPr>
                    <w:t xml:space="preserve"> </w:t>
                  </w:r>
                  <w:r w:rsidRPr="00F6757C">
                    <w:rPr>
                      <w:rFonts w:ascii="Arial" w:hAnsi="Arial" w:cs="Arial"/>
                      <w:i/>
                    </w:rPr>
                    <w:t>oltre</w:t>
                  </w:r>
                  <w:r w:rsidRPr="00F6757C">
                    <w:rPr>
                      <w:rFonts w:ascii="Arial" w:hAnsi="Arial" w:cs="Arial"/>
                      <w:i/>
                      <w:spacing w:val="1"/>
                    </w:rPr>
                    <w:t xml:space="preserve"> </w:t>
                  </w:r>
                  <w:r w:rsidRPr="00F6757C">
                    <w:rPr>
                      <w:rFonts w:ascii="Arial" w:hAnsi="Arial" w:cs="Arial"/>
                      <w:i/>
                    </w:rPr>
                    <w:t>il</w:t>
                  </w:r>
                  <w:r w:rsidRPr="00F6757C">
                    <w:rPr>
                      <w:rFonts w:ascii="Arial" w:hAnsi="Arial" w:cs="Arial"/>
                      <w:i/>
                      <w:spacing w:val="1"/>
                    </w:rPr>
                    <w:t xml:space="preserve"> </w:t>
                  </w:r>
                  <w:r w:rsidRPr="00F6757C">
                    <w:rPr>
                      <w:rFonts w:ascii="Arial" w:hAnsi="Arial" w:cs="Arial"/>
                      <w:i/>
                    </w:rPr>
                    <w:t>20%,</w:t>
                  </w:r>
                  <w:r w:rsidRPr="00F6757C">
                    <w:rPr>
                      <w:rFonts w:ascii="Arial" w:hAnsi="Arial" w:cs="Arial"/>
                      <w:i/>
                      <w:spacing w:val="1"/>
                    </w:rPr>
                    <w:t xml:space="preserve"> </w:t>
                  </w:r>
                  <w:r w:rsidRPr="00F6757C">
                    <w:rPr>
                      <w:rFonts w:ascii="Arial" w:hAnsi="Arial" w:cs="Arial"/>
                      <w:i/>
                    </w:rPr>
                    <w:t>per</w:t>
                  </w:r>
                  <w:r w:rsidRPr="00F6757C">
                    <w:rPr>
                      <w:rFonts w:ascii="Arial" w:hAnsi="Arial" w:cs="Arial"/>
                      <w:i/>
                      <w:spacing w:val="1"/>
                    </w:rPr>
                    <w:t xml:space="preserve"> </w:t>
                  </w:r>
                  <w:r w:rsidRPr="00F6757C">
                    <w:rPr>
                      <w:rFonts w:ascii="Arial" w:hAnsi="Arial" w:cs="Arial"/>
                      <w:i/>
                    </w:rPr>
                    <w:t>motivi</w:t>
                  </w:r>
                  <w:r w:rsidRPr="00F6757C">
                    <w:rPr>
                      <w:rFonts w:ascii="Arial" w:hAnsi="Arial" w:cs="Arial"/>
                      <w:i/>
                      <w:spacing w:val="1"/>
                    </w:rPr>
                    <w:t xml:space="preserve"> </w:t>
                  </w:r>
                  <w:r w:rsidRPr="00F6757C">
                    <w:rPr>
                      <w:rFonts w:ascii="Arial" w:hAnsi="Arial" w:cs="Arial"/>
                      <w:i/>
                    </w:rPr>
                    <w:t>connessi</w:t>
                  </w:r>
                  <w:r w:rsidRPr="00F6757C">
                    <w:rPr>
                      <w:rFonts w:ascii="Arial" w:hAnsi="Arial" w:cs="Arial"/>
                      <w:i/>
                      <w:spacing w:val="49"/>
                    </w:rPr>
                    <w:t xml:space="preserve"> </w:t>
                  </w:r>
                  <w:r w:rsidRPr="00F6757C">
                    <w:rPr>
                      <w:rFonts w:ascii="Arial" w:hAnsi="Arial" w:cs="Arial"/>
                      <w:i/>
                    </w:rPr>
                    <w:t>alle</w:t>
                  </w:r>
                  <w:r w:rsidRPr="00F6757C">
                    <w:rPr>
                      <w:rFonts w:ascii="Arial" w:hAnsi="Arial" w:cs="Arial"/>
                      <w:i/>
                      <w:spacing w:val="1"/>
                    </w:rPr>
                    <w:t xml:space="preserve"> </w:t>
                  </w:r>
                  <w:r w:rsidRPr="00F6757C">
                    <w:rPr>
                      <w:rFonts w:ascii="Arial" w:hAnsi="Arial" w:cs="Arial"/>
                      <w:i/>
                    </w:rPr>
                    <w:t>peculiarità delle operazioni. A tal fine, l’Ufficio Responsabile di Azione (</w:t>
                  </w:r>
                  <w:proofErr w:type="spellStart"/>
                  <w:r w:rsidRPr="00F6757C">
                    <w:rPr>
                      <w:rFonts w:ascii="Arial" w:hAnsi="Arial" w:cs="Arial"/>
                      <w:i/>
                    </w:rPr>
                    <w:t>RdA</w:t>
                  </w:r>
                  <w:proofErr w:type="spellEnd"/>
                  <w:r w:rsidRPr="00F6757C">
                    <w:rPr>
                      <w:rFonts w:ascii="Arial" w:hAnsi="Arial" w:cs="Arial"/>
                      <w:i/>
                    </w:rPr>
                    <w:t>), sulla base delle</w:t>
                  </w:r>
                  <w:r w:rsidRPr="00F6757C">
                    <w:rPr>
                      <w:rFonts w:ascii="Arial" w:hAnsi="Arial" w:cs="Arial"/>
                      <w:i/>
                      <w:spacing w:val="1"/>
                    </w:rPr>
                    <w:t xml:space="preserve"> </w:t>
                  </w:r>
                  <w:r w:rsidRPr="00F6757C">
                    <w:rPr>
                      <w:rFonts w:ascii="Arial" w:hAnsi="Arial" w:cs="Arial"/>
                      <w:i/>
                    </w:rPr>
                    <w:t>informazioni</w:t>
                  </w:r>
                  <w:r w:rsidRPr="00F6757C">
                    <w:rPr>
                      <w:rFonts w:ascii="Arial" w:hAnsi="Arial" w:cs="Arial"/>
                      <w:i/>
                      <w:spacing w:val="17"/>
                    </w:rPr>
                    <w:t xml:space="preserve"> </w:t>
                  </w:r>
                  <w:r w:rsidRPr="00F6757C">
                    <w:rPr>
                      <w:rFonts w:ascii="Arial" w:hAnsi="Arial" w:cs="Arial"/>
                      <w:i/>
                    </w:rPr>
                    <w:t>fornite</w:t>
                  </w:r>
                  <w:r w:rsidRPr="00F6757C">
                    <w:rPr>
                      <w:rFonts w:ascii="Arial" w:hAnsi="Arial" w:cs="Arial"/>
                      <w:i/>
                      <w:spacing w:val="18"/>
                    </w:rPr>
                    <w:t xml:space="preserve"> </w:t>
                  </w:r>
                  <w:r w:rsidRPr="00F6757C">
                    <w:rPr>
                      <w:rFonts w:ascii="Arial" w:hAnsi="Arial" w:cs="Arial"/>
                      <w:i/>
                    </w:rPr>
                    <w:t>dal</w:t>
                  </w:r>
                  <w:r w:rsidRPr="00F6757C">
                    <w:rPr>
                      <w:rFonts w:ascii="Arial" w:hAnsi="Arial" w:cs="Arial"/>
                      <w:i/>
                      <w:spacing w:val="17"/>
                    </w:rPr>
                    <w:t xml:space="preserve"> </w:t>
                  </w:r>
                  <w:r w:rsidRPr="00F6757C">
                    <w:rPr>
                      <w:rFonts w:ascii="Arial" w:hAnsi="Arial" w:cs="Arial"/>
                      <w:i/>
                    </w:rPr>
                    <w:t>beneficiario,</w:t>
                  </w:r>
                  <w:r w:rsidRPr="00F6757C">
                    <w:rPr>
                      <w:rFonts w:ascii="Arial" w:hAnsi="Arial" w:cs="Arial"/>
                      <w:i/>
                      <w:spacing w:val="17"/>
                    </w:rPr>
                    <w:t xml:space="preserve"> </w:t>
                  </w:r>
                  <w:r w:rsidRPr="00F6757C">
                    <w:rPr>
                      <w:rFonts w:ascii="Arial" w:hAnsi="Arial" w:cs="Arial"/>
                      <w:i/>
                    </w:rPr>
                    <w:t>fornisce</w:t>
                  </w:r>
                  <w:r w:rsidRPr="00F6757C">
                    <w:rPr>
                      <w:rFonts w:ascii="Arial" w:hAnsi="Arial" w:cs="Arial"/>
                      <w:i/>
                      <w:spacing w:val="18"/>
                    </w:rPr>
                    <w:t xml:space="preserve"> </w:t>
                  </w:r>
                  <w:r w:rsidRPr="00F6757C">
                    <w:rPr>
                      <w:rFonts w:ascii="Arial" w:hAnsi="Arial" w:cs="Arial"/>
                      <w:i/>
                    </w:rPr>
                    <w:t>le</w:t>
                  </w:r>
                  <w:r w:rsidRPr="00F6757C">
                    <w:rPr>
                      <w:rFonts w:ascii="Arial" w:hAnsi="Arial" w:cs="Arial"/>
                      <w:i/>
                      <w:spacing w:val="15"/>
                    </w:rPr>
                    <w:t xml:space="preserve"> </w:t>
                  </w:r>
                  <w:r w:rsidRPr="00F6757C">
                    <w:rPr>
                      <w:rFonts w:ascii="Arial" w:hAnsi="Arial" w:cs="Arial"/>
                      <w:i/>
                    </w:rPr>
                    <w:t>motivazioni</w:t>
                  </w:r>
                  <w:r w:rsidRPr="00F6757C">
                    <w:rPr>
                      <w:rFonts w:ascii="Arial" w:hAnsi="Arial" w:cs="Arial"/>
                      <w:i/>
                      <w:spacing w:val="17"/>
                    </w:rPr>
                    <w:t xml:space="preserve"> </w:t>
                  </w:r>
                  <w:r w:rsidRPr="00F6757C">
                    <w:rPr>
                      <w:rFonts w:ascii="Arial" w:hAnsi="Arial" w:cs="Arial"/>
                      <w:i/>
                    </w:rPr>
                    <w:t>nella</w:t>
                  </w:r>
                  <w:r w:rsidRPr="00F6757C">
                    <w:rPr>
                      <w:rFonts w:ascii="Arial" w:hAnsi="Arial" w:cs="Arial"/>
                      <w:i/>
                      <w:spacing w:val="15"/>
                    </w:rPr>
                    <w:t xml:space="preserve"> </w:t>
                  </w:r>
                  <w:r w:rsidRPr="00F6757C">
                    <w:rPr>
                      <w:rFonts w:ascii="Arial" w:hAnsi="Arial" w:cs="Arial"/>
                      <w:i/>
                    </w:rPr>
                    <w:t>determinazione</w:t>
                  </w:r>
                  <w:r w:rsidRPr="00F6757C">
                    <w:rPr>
                      <w:rFonts w:ascii="Arial" w:hAnsi="Arial" w:cs="Arial"/>
                      <w:i/>
                      <w:spacing w:val="18"/>
                    </w:rPr>
                    <w:t xml:space="preserve"> </w:t>
                  </w:r>
                  <w:r w:rsidRPr="00F6757C">
                    <w:rPr>
                      <w:rFonts w:ascii="Arial" w:hAnsi="Arial" w:cs="Arial"/>
                      <w:i/>
                    </w:rPr>
                    <w:t>dirigenziale</w:t>
                  </w:r>
                  <w:r w:rsidRPr="00F6757C">
                    <w:rPr>
                      <w:rFonts w:ascii="Arial" w:hAnsi="Arial" w:cs="Arial"/>
                      <w:i/>
                      <w:spacing w:val="-47"/>
                    </w:rPr>
                    <w:t xml:space="preserve">   </w:t>
                  </w:r>
                  <w:r w:rsidRPr="00F6757C">
                    <w:rPr>
                      <w:rFonts w:ascii="Arial" w:hAnsi="Arial" w:cs="Arial"/>
                      <w:i/>
                    </w:rPr>
                    <w:t>di</w:t>
                  </w:r>
                  <w:r w:rsidRPr="00F6757C">
                    <w:rPr>
                      <w:rFonts w:ascii="Arial" w:hAnsi="Arial" w:cs="Arial"/>
                      <w:i/>
                      <w:spacing w:val="22"/>
                    </w:rPr>
                    <w:t xml:space="preserve"> </w:t>
                  </w:r>
                  <w:r w:rsidRPr="00F6757C">
                    <w:rPr>
                      <w:rFonts w:ascii="Arial" w:hAnsi="Arial" w:cs="Arial"/>
                      <w:i/>
                    </w:rPr>
                    <w:t>approvazione</w:t>
                  </w:r>
                  <w:r w:rsidRPr="00F6757C">
                    <w:rPr>
                      <w:rFonts w:ascii="Arial" w:hAnsi="Arial" w:cs="Arial"/>
                      <w:i/>
                      <w:spacing w:val="24"/>
                    </w:rPr>
                    <w:t xml:space="preserve"> </w:t>
                  </w:r>
                  <w:r w:rsidRPr="00F6757C">
                    <w:rPr>
                      <w:rFonts w:ascii="Arial" w:hAnsi="Arial" w:cs="Arial"/>
                      <w:i/>
                    </w:rPr>
                    <w:t>e/o</w:t>
                  </w:r>
                  <w:r w:rsidRPr="00F6757C">
                    <w:rPr>
                      <w:rFonts w:ascii="Arial" w:hAnsi="Arial" w:cs="Arial"/>
                      <w:i/>
                      <w:spacing w:val="22"/>
                    </w:rPr>
                    <w:t xml:space="preserve"> </w:t>
                  </w:r>
                  <w:r w:rsidRPr="00F6757C">
                    <w:rPr>
                      <w:rFonts w:ascii="Arial" w:hAnsi="Arial" w:cs="Arial"/>
                      <w:i/>
                    </w:rPr>
                    <w:t>modifica</w:t>
                  </w:r>
                  <w:r w:rsidRPr="00F6757C">
                    <w:rPr>
                      <w:rFonts w:ascii="Arial" w:hAnsi="Arial" w:cs="Arial"/>
                      <w:i/>
                      <w:spacing w:val="22"/>
                    </w:rPr>
                    <w:t xml:space="preserve"> </w:t>
                  </w:r>
                  <w:r w:rsidRPr="00F6757C">
                    <w:rPr>
                      <w:rFonts w:ascii="Arial" w:hAnsi="Arial" w:cs="Arial"/>
                      <w:i/>
                    </w:rPr>
                    <w:t>del</w:t>
                  </w:r>
                  <w:r w:rsidRPr="00F6757C">
                    <w:rPr>
                      <w:rFonts w:ascii="Arial" w:hAnsi="Arial" w:cs="Arial"/>
                      <w:i/>
                      <w:spacing w:val="23"/>
                    </w:rPr>
                    <w:t xml:space="preserve"> </w:t>
                  </w:r>
                  <w:r w:rsidRPr="00F6757C">
                    <w:rPr>
                      <w:rFonts w:ascii="Arial" w:hAnsi="Arial" w:cs="Arial"/>
                      <w:i/>
                    </w:rPr>
                    <w:t>quadro</w:t>
                  </w:r>
                  <w:r w:rsidRPr="00F6757C">
                    <w:rPr>
                      <w:rFonts w:ascii="Arial" w:hAnsi="Arial" w:cs="Arial"/>
                      <w:i/>
                      <w:spacing w:val="24"/>
                    </w:rPr>
                    <w:t xml:space="preserve"> </w:t>
                  </w:r>
                  <w:r w:rsidRPr="00F6757C">
                    <w:rPr>
                      <w:rFonts w:ascii="Arial" w:hAnsi="Arial" w:cs="Arial"/>
                      <w:i/>
                    </w:rPr>
                    <w:t>economico.</w:t>
                  </w:r>
                  <w:r w:rsidRPr="00F6757C">
                    <w:rPr>
                      <w:rFonts w:ascii="Arial" w:hAnsi="Arial" w:cs="Arial"/>
                      <w:i/>
                      <w:spacing w:val="20"/>
                    </w:rPr>
                    <w:t xml:space="preserve"> </w:t>
                  </w:r>
                  <w:r w:rsidRPr="00F6757C">
                    <w:rPr>
                      <w:rFonts w:ascii="Arial" w:hAnsi="Arial" w:cs="Arial"/>
                      <w:i/>
                    </w:rPr>
                    <w:t>Si</w:t>
                  </w:r>
                  <w:r w:rsidRPr="00F6757C">
                    <w:rPr>
                      <w:rFonts w:ascii="Arial" w:hAnsi="Arial" w:cs="Arial"/>
                      <w:i/>
                      <w:spacing w:val="23"/>
                    </w:rPr>
                    <w:t xml:space="preserve"> </w:t>
                  </w:r>
                  <w:r w:rsidRPr="00F6757C">
                    <w:rPr>
                      <w:rFonts w:ascii="Arial" w:hAnsi="Arial" w:cs="Arial"/>
                      <w:i/>
                    </w:rPr>
                    <w:t>precisa</w:t>
                  </w:r>
                  <w:r w:rsidRPr="00F6757C">
                    <w:rPr>
                      <w:rFonts w:ascii="Arial" w:hAnsi="Arial" w:cs="Arial"/>
                      <w:i/>
                      <w:spacing w:val="23"/>
                    </w:rPr>
                    <w:t xml:space="preserve"> </w:t>
                  </w:r>
                  <w:r w:rsidRPr="00F6757C">
                    <w:rPr>
                      <w:rFonts w:ascii="Arial" w:hAnsi="Arial" w:cs="Arial"/>
                      <w:i/>
                    </w:rPr>
                    <w:t>che</w:t>
                  </w:r>
                  <w:r w:rsidRPr="00F6757C">
                    <w:rPr>
                      <w:rFonts w:ascii="Arial" w:hAnsi="Arial" w:cs="Arial"/>
                      <w:i/>
                      <w:spacing w:val="23"/>
                    </w:rPr>
                    <w:t xml:space="preserve"> </w:t>
                  </w:r>
                  <w:r w:rsidRPr="00F6757C">
                    <w:rPr>
                      <w:rFonts w:ascii="Arial" w:hAnsi="Arial" w:cs="Arial"/>
                      <w:i/>
                    </w:rPr>
                    <w:t>tale</w:t>
                  </w:r>
                  <w:r w:rsidRPr="00F6757C">
                    <w:rPr>
                      <w:rFonts w:ascii="Arial" w:hAnsi="Arial" w:cs="Arial"/>
                      <w:i/>
                      <w:spacing w:val="23"/>
                    </w:rPr>
                    <w:t xml:space="preserve"> </w:t>
                  </w:r>
                  <w:r w:rsidRPr="00F6757C">
                    <w:rPr>
                      <w:rFonts w:ascii="Arial" w:hAnsi="Arial" w:cs="Arial"/>
                      <w:i/>
                    </w:rPr>
                    <w:t>possibilità</w:t>
                  </w:r>
                  <w:r w:rsidRPr="00F6757C">
                    <w:rPr>
                      <w:rFonts w:ascii="Arial" w:hAnsi="Arial" w:cs="Arial"/>
                      <w:i/>
                      <w:spacing w:val="22"/>
                    </w:rPr>
                    <w:t xml:space="preserve"> </w:t>
                  </w:r>
                  <w:r w:rsidRPr="00F6757C">
                    <w:rPr>
                      <w:rFonts w:ascii="Arial" w:hAnsi="Arial" w:cs="Arial"/>
                      <w:i/>
                    </w:rPr>
                    <w:t>si</w:t>
                  </w:r>
                  <w:r w:rsidRPr="00F6757C">
                    <w:rPr>
                      <w:rFonts w:ascii="Arial" w:hAnsi="Arial" w:cs="Arial"/>
                      <w:i/>
                      <w:spacing w:val="23"/>
                    </w:rPr>
                    <w:t xml:space="preserve"> </w:t>
                  </w:r>
                  <w:r w:rsidRPr="00F6757C">
                    <w:rPr>
                      <w:rFonts w:ascii="Arial" w:hAnsi="Arial" w:cs="Arial"/>
                      <w:i/>
                    </w:rPr>
                    <w:t>verifica</w:t>
                  </w:r>
                  <w:r w:rsidRPr="00F6757C">
                    <w:rPr>
                      <w:rFonts w:ascii="Arial" w:hAnsi="Arial" w:cs="Arial"/>
                      <w:i/>
                      <w:spacing w:val="-47"/>
                    </w:rPr>
                    <w:t xml:space="preserve">    </w:t>
                  </w:r>
                  <w:r w:rsidRPr="00F6757C">
                    <w:rPr>
                      <w:rFonts w:ascii="Arial" w:hAnsi="Arial" w:cs="Arial"/>
                      <w:i/>
                    </w:rPr>
                    <w:t>nel caso di progetti che possano avere spese di carattere generale superiori alla media a causa</w:t>
                  </w:r>
                  <w:r w:rsidRPr="00F6757C">
                    <w:rPr>
                      <w:rFonts w:ascii="Arial" w:hAnsi="Arial" w:cs="Arial"/>
                      <w:i/>
                      <w:spacing w:val="1"/>
                    </w:rPr>
                    <w:t xml:space="preserve"> </w:t>
                  </w:r>
                  <w:r w:rsidRPr="00F6757C">
                    <w:rPr>
                      <w:rFonts w:ascii="Arial" w:hAnsi="Arial" w:cs="Arial"/>
                      <w:i/>
                    </w:rPr>
                    <w:t>della complessità progettuale (a titolo indicativo e non esaustivo ad es. necessità di ricorso a</w:t>
                  </w:r>
                  <w:r w:rsidRPr="00F6757C">
                    <w:rPr>
                      <w:rFonts w:ascii="Arial" w:hAnsi="Arial" w:cs="Arial"/>
                      <w:i/>
                      <w:spacing w:val="1"/>
                    </w:rPr>
                    <w:t xml:space="preserve"> </w:t>
                  </w:r>
                  <w:r w:rsidRPr="00F6757C">
                    <w:rPr>
                      <w:rFonts w:ascii="Arial" w:hAnsi="Arial" w:cs="Arial"/>
                      <w:i/>
                    </w:rPr>
                    <w:t>VIA, valutazione d’incidenza, espropriazioni o indagini preliminari del territorio ecc.) e/o delle</w:t>
                  </w:r>
                  <w:r w:rsidRPr="00F6757C">
                    <w:rPr>
                      <w:rFonts w:ascii="Arial" w:hAnsi="Arial" w:cs="Arial"/>
                      <w:i/>
                      <w:spacing w:val="1"/>
                    </w:rPr>
                    <w:t xml:space="preserve"> </w:t>
                  </w:r>
                  <w:r w:rsidRPr="00F6757C">
                    <w:rPr>
                      <w:rFonts w:ascii="Arial" w:hAnsi="Arial" w:cs="Arial"/>
                      <w:i/>
                    </w:rPr>
                    <w:t>peculiarità</w:t>
                  </w:r>
                  <w:r w:rsidRPr="00F6757C">
                    <w:rPr>
                      <w:rFonts w:ascii="Arial" w:hAnsi="Arial" w:cs="Arial"/>
                      <w:i/>
                      <w:spacing w:val="-1"/>
                    </w:rPr>
                    <w:t xml:space="preserve"> </w:t>
                  </w:r>
                  <w:r w:rsidRPr="00F6757C">
                    <w:rPr>
                      <w:rFonts w:ascii="Arial" w:hAnsi="Arial" w:cs="Arial"/>
                      <w:i/>
                    </w:rPr>
                    <w:t>del</w:t>
                  </w:r>
                  <w:r w:rsidRPr="00F6757C">
                    <w:rPr>
                      <w:rFonts w:ascii="Arial" w:hAnsi="Arial" w:cs="Arial"/>
                      <w:i/>
                      <w:spacing w:val="-3"/>
                    </w:rPr>
                    <w:t xml:space="preserve"> </w:t>
                  </w:r>
                  <w:r w:rsidRPr="00F6757C">
                    <w:rPr>
                      <w:rFonts w:ascii="Arial" w:hAnsi="Arial" w:cs="Arial"/>
                      <w:i/>
                    </w:rPr>
                    <w:t>settore</w:t>
                  </w:r>
                  <w:r w:rsidRPr="00F6757C">
                    <w:rPr>
                      <w:rFonts w:ascii="Arial" w:hAnsi="Arial" w:cs="Arial"/>
                      <w:i/>
                      <w:spacing w:val="1"/>
                    </w:rPr>
                    <w:t xml:space="preserve"> </w:t>
                  </w:r>
                  <w:r w:rsidRPr="00F6757C">
                    <w:rPr>
                      <w:rFonts w:ascii="Arial" w:hAnsi="Arial" w:cs="Arial"/>
                      <w:i/>
                    </w:rPr>
                    <w:t>di</w:t>
                  </w:r>
                  <w:r w:rsidRPr="00F6757C">
                    <w:rPr>
                      <w:rFonts w:ascii="Arial" w:hAnsi="Arial" w:cs="Arial"/>
                      <w:i/>
                      <w:spacing w:val="-1"/>
                    </w:rPr>
                    <w:t xml:space="preserve"> </w:t>
                  </w:r>
                  <w:r w:rsidRPr="00F6757C">
                    <w:rPr>
                      <w:rFonts w:ascii="Arial" w:hAnsi="Arial" w:cs="Arial"/>
                      <w:i/>
                    </w:rPr>
                    <w:t>appartenenza</w:t>
                  </w:r>
                  <w:r w:rsidRPr="00F6757C">
                    <w:rPr>
                      <w:rFonts w:ascii="Arial" w:hAnsi="Arial" w:cs="Arial"/>
                      <w:i/>
                      <w:spacing w:val="-1"/>
                    </w:rPr>
                    <w:t xml:space="preserve"> </w:t>
                  </w:r>
                  <w:r w:rsidRPr="00F6757C">
                    <w:rPr>
                      <w:rFonts w:ascii="Arial" w:hAnsi="Arial" w:cs="Arial"/>
                      <w:i/>
                    </w:rPr>
                    <w:t>(es. operazione</w:t>
                  </w:r>
                  <w:r w:rsidRPr="00F6757C">
                    <w:rPr>
                      <w:rFonts w:ascii="Arial" w:hAnsi="Arial" w:cs="Arial"/>
                      <w:i/>
                      <w:spacing w:val="-3"/>
                    </w:rPr>
                    <w:t xml:space="preserve"> </w:t>
                  </w:r>
                  <w:r w:rsidRPr="00F6757C">
                    <w:rPr>
                      <w:rFonts w:ascii="Arial" w:hAnsi="Arial" w:cs="Arial"/>
                      <w:i/>
                    </w:rPr>
                    <w:t>nel</w:t>
                  </w:r>
                  <w:r w:rsidRPr="00F6757C">
                    <w:rPr>
                      <w:rFonts w:ascii="Arial" w:hAnsi="Arial" w:cs="Arial"/>
                      <w:i/>
                      <w:spacing w:val="-1"/>
                    </w:rPr>
                    <w:t xml:space="preserve"> </w:t>
                  </w:r>
                  <w:r w:rsidRPr="00F6757C">
                    <w:rPr>
                      <w:rFonts w:ascii="Arial" w:hAnsi="Arial" w:cs="Arial"/>
                      <w:i/>
                    </w:rPr>
                    <w:t>settore dei</w:t>
                  </w:r>
                  <w:r w:rsidRPr="00F6757C">
                    <w:rPr>
                      <w:rFonts w:ascii="Arial" w:hAnsi="Arial" w:cs="Arial"/>
                      <w:i/>
                      <w:spacing w:val="-4"/>
                    </w:rPr>
                    <w:t xml:space="preserve"> </w:t>
                  </w:r>
                  <w:r w:rsidRPr="00F6757C">
                    <w:rPr>
                      <w:rFonts w:ascii="Arial" w:hAnsi="Arial" w:cs="Arial"/>
                      <w:i/>
                    </w:rPr>
                    <w:t>beni</w:t>
                  </w:r>
                  <w:r w:rsidRPr="00F6757C">
                    <w:rPr>
                      <w:rFonts w:ascii="Arial" w:hAnsi="Arial" w:cs="Arial"/>
                      <w:i/>
                      <w:spacing w:val="-1"/>
                    </w:rPr>
                    <w:t xml:space="preserve"> </w:t>
                  </w:r>
                  <w:r w:rsidRPr="00F6757C">
                    <w:rPr>
                      <w:rFonts w:ascii="Arial" w:hAnsi="Arial" w:cs="Arial"/>
                      <w:i/>
                    </w:rPr>
                    <w:t>culturali).</w:t>
                  </w:r>
                </w:p>
                <w:p w:rsidR="00F6757C" w:rsidRPr="00F6757C" w:rsidRDefault="00F6757C" w:rsidP="000C6203">
                  <w:pPr>
                    <w:pStyle w:val="TableParagraph"/>
                    <w:tabs>
                      <w:tab w:val="left" w:pos="134"/>
                    </w:tabs>
                    <w:spacing w:before="5" w:line="237" w:lineRule="auto"/>
                    <w:ind w:left="484" w:right="95" w:hanging="392"/>
                    <w:jc w:val="both"/>
                    <w:rPr>
                      <w:rFonts w:ascii="Arial" w:hAnsi="Arial" w:cs="Arial"/>
                      <w:sz w:val="16"/>
                      <w:szCs w:val="16"/>
                    </w:rPr>
                  </w:pPr>
                </w:p>
                <w:p w:rsidR="000C6203" w:rsidRPr="00F6757C" w:rsidRDefault="000C6203" w:rsidP="000C6203">
                  <w:pPr>
                    <w:pStyle w:val="TableParagraph"/>
                    <w:tabs>
                      <w:tab w:val="left" w:pos="134"/>
                    </w:tabs>
                    <w:spacing w:before="5" w:line="237" w:lineRule="auto"/>
                    <w:ind w:left="484" w:right="95" w:hanging="392"/>
                    <w:jc w:val="both"/>
                    <w:rPr>
                      <w:rFonts w:ascii="Arial" w:hAnsi="Arial" w:cs="Arial"/>
                      <w:i/>
                    </w:rPr>
                  </w:pPr>
                  <w:r w:rsidRPr="00F6757C">
                    <w:rPr>
                      <w:rFonts w:ascii="Arial" w:hAnsi="Arial" w:cs="Arial"/>
                    </w:rPr>
                    <w:t>(</w:t>
                  </w:r>
                  <w:bookmarkStart w:id="0" w:name="_GoBack"/>
                  <w:r w:rsidRPr="00111496">
                    <w:rPr>
                      <w:rFonts w:ascii="Arial" w:hAnsi="Arial" w:cs="Arial"/>
                      <w:i/>
                    </w:rPr>
                    <w:t>10</w:t>
                  </w:r>
                  <w:bookmarkEnd w:id="0"/>
                  <w:r w:rsidRPr="00F6757C">
                    <w:rPr>
                      <w:rFonts w:ascii="Arial" w:hAnsi="Arial" w:cs="Arial"/>
                    </w:rPr>
                    <w:t>)</w:t>
                  </w:r>
                  <w:r w:rsidRPr="00F6757C">
                    <w:rPr>
                      <w:rFonts w:ascii="Arial" w:hAnsi="Arial" w:cs="Arial"/>
                    </w:rPr>
                    <w:tab/>
                  </w:r>
                  <w:r w:rsidRPr="00F6757C">
                    <w:rPr>
                      <w:rFonts w:ascii="Arial" w:hAnsi="Arial" w:cs="Arial"/>
                      <w:i/>
                    </w:rPr>
                    <w:t>Gli</w:t>
                  </w:r>
                  <w:r w:rsidRPr="00F6757C">
                    <w:rPr>
                      <w:rFonts w:ascii="Arial" w:hAnsi="Arial" w:cs="Arial"/>
                      <w:i/>
                      <w:spacing w:val="2"/>
                    </w:rPr>
                    <w:t xml:space="preserve"> </w:t>
                  </w:r>
                  <w:r w:rsidRPr="00F6757C">
                    <w:rPr>
                      <w:rFonts w:ascii="Arial" w:hAnsi="Arial" w:cs="Arial"/>
                      <w:i/>
                    </w:rPr>
                    <w:t>importi</w:t>
                  </w:r>
                  <w:r w:rsidRPr="00F6757C">
                    <w:rPr>
                      <w:rFonts w:ascii="Arial" w:hAnsi="Arial" w:cs="Arial"/>
                      <w:i/>
                      <w:spacing w:val="5"/>
                    </w:rPr>
                    <w:t xml:space="preserve"> </w:t>
                  </w:r>
                  <w:r w:rsidRPr="00F6757C">
                    <w:rPr>
                      <w:rFonts w:ascii="Arial" w:hAnsi="Arial" w:cs="Arial"/>
                      <w:i/>
                    </w:rPr>
                    <w:t>delle</w:t>
                  </w:r>
                  <w:r w:rsidRPr="00F6757C">
                    <w:rPr>
                      <w:rFonts w:ascii="Arial" w:hAnsi="Arial" w:cs="Arial"/>
                      <w:i/>
                      <w:spacing w:val="3"/>
                    </w:rPr>
                    <w:t xml:space="preserve"> </w:t>
                  </w:r>
                  <w:r w:rsidRPr="00F6757C">
                    <w:rPr>
                      <w:rFonts w:ascii="Arial" w:hAnsi="Arial" w:cs="Arial"/>
                      <w:i/>
                    </w:rPr>
                    <w:t>voci</w:t>
                  </w:r>
                  <w:r w:rsidRPr="00F6757C">
                    <w:rPr>
                      <w:rFonts w:ascii="Arial" w:hAnsi="Arial" w:cs="Arial"/>
                      <w:i/>
                      <w:spacing w:val="4"/>
                    </w:rPr>
                    <w:t xml:space="preserve"> </w:t>
                  </w:r>
                  <w:r w:rsidRPr="00F6757C">
                    <w:rPr>
                      <w:rFonts w:ascii="Arial" w:hAnsi="Arial" w:cs="Arial"/>
                      <w:i/>
                    </w:rPr>
                    <w:t>delle</w:t>
                  </w:r>
                  <w:r w:rsidRPr="00F6757C">
                    <w:rPr>
                      <w:rFonts w:ascii="Arial" w:hAnsi="Arial" w:cs="Arial"/>
                      <w:i/>
                      <w:spacing w:val="6"/>
                    </w:rPr>
                    <w:t xml:space="preserve"> </w:t>
                  </w:r>
                  <w:r w:rsidRPr="00F6757C">
                    <w:rPr>
                      <w:rFonts w:ascii="Arial" w:hAnsi="Arial" w:cs="Arial"/>
                      <w:i/>
                    </w:rPr>
                    <w:t>spese</w:t>
                  </w:r>
                  <w:r w:rsidRPr="00F6757C">
                    <w:rPr>
                      <w:rFonts w:ascii="Arial" w:hAnsi="Arial" w:cs="Arial"/>
                      <w:i/>
                      <w:spacing w:val="3"/>
                    </w:rPr>
                    <w:t xml:space="preserve"> </w:t>
                  </w:r>
                  <w:r w:rsidRPr="00F6757C">
                    <w:rPr>
                      <w:rFonts w:ascii="Arial" w:hAnsi="Arial" w:cs="Arial"/>
                      <w:i/>
                    </w:rPr>
                    <w:t>del</w:t>
                  </w:r>
                  <w:r w:rsidRPr="00F6757C">
                    <w:rPr>
                      <w:rFonts w:ascii="Arial" w:hAnsi="Arial" w:cs="Arial"/>
                      <w:i/>
                      <w:spacing w:val="5"/>
                    </w:rPr>
                    <w:t xml:space="preserve"> </w:t>
                  </w:r>
                  <w:r w:rsidRPr="00F6757C">
                    <w:rPr>
                      <w:rFonts w:ascii="Arial" w:hAnsi="Arial" w:cs="Arial"/>
                      <w:i/>
                    </w:rPr>
                    <w:t>punto</w:t>
                  </w:r>
                  <w:r w:rsidRPr="00F6757C">
                    <w:rPr>
                      <w:rFonts w:ascii="Arial" w:hAnsi="Arial" w:cs="Arial"/>
                      <w:i/>
                      <w:spacing w:val="3"/>
                    </w:rPr>
                    <w:t xml:space="preserve"> </w:t>
                  </w:r>
                  <w:r w:rsidR="002051B3" w:rsidRPr="00F6757C">
                    <w:rPr>
                      <w:rFonts w:ascii="Arial" w:hAnsi="Arial" w:cs="Arial"/>
                      <w:i/>
                    </w:rPr>
                    <w:t>10</w:t>
                  </w:r>
                  <w:r w:rsidRPr="00F6757C">
                    <w:rPr>
                      <w:rFonts w:ascii="Arial" w:hAnsi="Arial" w:cs="Arial"/>
                      <w:i/>
                      <w:spacing w:val="4"/>
                    </w:rPr>
                    <w:t xml:space="preserve"> </w:t>
                  </w:r>
                  <w:r w:rsidRPr="00F6757C">
                    <w:rPr>
                      <w:rFonts w:ascii="Arial" w:hAnsi="Arial" w:cs="Arial"/>
                      <w:i/>
                    </w:rPr>
                    <w:t>dalla</w:t>
                  </w:r>
                  <w:r w:rsidRPr="00F6757C">
                    <w:rPr>
                      <w:rFonts w:ascii="Arial" w:hAnsi="Arial" w:cs="Arial"/>
                      <w:i/>
                      <w:spacing w:val="5"/>
                    </w:rPr>
                    <w:t xml:space="preserve"> </w:t>
                  </w:r>
                  <w:r w:rsidRPr="00F6757C">
                    <w:rPr>
                      <w:rFonts w:ascii="Arial" w:hAnsi="Arial" w:cs="Arial"/>
                      <w:i/>
                    </w:rPr>
                    <w:t>lettera</w:t>
                  </w:r>
                  <w:r w:rsidRPr="00F6757C">
                    <w:rPr>
                      <w:rFonts w:ascii="Arial" w:hAnsi="Arial" w:cs="Arial"/>
                      <w:i/>
                      <w:spacing w:val="5"/>
                    </w:rPr>
                    <w:t xml:space="preserve"> </w:t>
                  </w:r>
                  <w:r w:rsidRPr="00F6757C">
                    <w:rPr>
                      <w:rFonts w:ascii="Arial" w:hAnsi="Arial" w:cs="Arial"/>
                      <w:i/>
                    </w:rPr>
                    <w:t>a)</w:t>
                  </w:r>
                  <w:r w:rsidRPr="00F6757C">
                    <w:rPr>
                      <w:rFonts w:ascii="Arial" w:hAnsi="Arial" w:cs="Arial"/>
                      <w:i/>
                      <w:spacing w:val="6"/>
                    </w:rPr>
                    <w:t xml:space="preserve"> </w:t>
                  </w:r>
                  <w:r w:rsidRPr="00F6757C">
                    <w:rPr>
                      <w:rFonts w:ascii="Arial" w:hAnsi="Arial" w:cs="Arial"/>
                      <w:i/>
                    </w:rPr>
                    <w:t>alla</w:t>
                  </w:r>
                  <w:r w:rsidRPr="00F6757C">
                    <w:rPr>
                      <w:rFonts w:ascii="Arial" w:hAnsi="Arial" w:cs="Arial"/>
                      <w:i/>
                      <w:spacing w:val="5"/>
                    </w:rPr>
                    <w:t xml:space="preserve"> </w:t>
                  </w:r>
                  <w:r w:rsidRPr="00F6757C">
                    <w:rPr>
                      <w:rFonts w:ascii="Arial" w:hAnsi="Arial" w:cs="Arial"/>
                      <w:i/>
                    </w:rPr>
                    <w:t>lettera</w:t>
                  </w:r>
                  <w:r w:rsidRPr="00F6757C">
                    <w:rPr>
                      <w:rFonts w:ascii="Arial" w:hAnsi="Arial" w:cs="Arial"/>
                      <w:i/>
                      <w:spacing w:val="5"/>
                    </w:rPr>
                    <w:t xml:space="preserve"> </w:t>
                  </w:r>
                  <w:r w:rsidR="002051B3" w:rsidRPr="00F6757C">
                    <w:rPr>
                      <w:rFonts w:ascii="Arial" w:hAnsi="Arial" w:cs="Arial"/>
                      <w:i/>
                    </w:rPr>
                    <w:t>i</w:t>
                  </w:r>
                  <w:r w:rsidRPr="00F6757C">
                    <w:rPr>
                      <w:rFonts w:ascii="Arial" w:hAnsi="Arial" w:cs="Arial"/>
                      <w:i/>
                    </w:rPr>
                    <w:t>)</w:t>
                  </w:r>
                  <w:r w:rsidRPr="00F6757C">
                    <w:rPr>
                      <w:rFonts w:ascii="Arial" w:hAnsi="Arial" w:cs="Arial"/>
                      <w:i/>
                      <w:spacing w:val="8"/>
                    </w:rPr>
                    <w:t xml:space="preserve"> </w:t>
                  </w:r>
                  <w:r w:rsidRPr="00F6757C">
                    <w:rPr>
                      <w:rFonts w:ascii="Arial" w:hAnsi="Arial" w:cs="Arial"/>
                      <w:i/>
                    </w:rPr>
                    <w:t>si</w:t>
                  </w:r>
                  <w:r w:rsidRPr="00F6757C">
                    <w:rPr>
                      <w:rFonts w:ascii="Arial" w:hAnsi="Arial" w:cs="Arial"/>
                      <w:i/>
                      <w:spacing w:val="6"/>
                    </w:rPr>
                    <w:t xml:space="preserve"> </w:t>
                  </w:r>
                  <w:r w:rsidRPr="00F6757C">
                    <w:rPr>
                      <w:rFonts w:ascii="Arial" w:hAnsi="Arial" w:cs="Arial"/>
                      <w:i/>
                    </w:rPr>
                    <w:t>intendono</w:t>
                  </w:r>
                  <w:r w:rsidRPr="00F6757C">
                    <w:rPr>
                      <w:rFonts w:ascii="Arial" w:hAnsi="Arial" w:cs="Arial"/>
                      <w:i/>
                      <w:spacing w:val="-47"/>
                    </w:rPr>
                    <w:t xml:space="preserve">           </w:t>
                  </w:r>
                  <w:r w:rsidRPr="00F6757C">
                    <w:rPr>
                      <w:rFonts w:ascii="Arial" w:hAnsi="Arial" w:cs="Arial"/>
                      <w:i/>
                    </w:rPr>
                    <w:t>comprensivi</w:t>
                  </w:r>
                  <w:r w:rsidRPr="00F6757C">
                    <w:rPr>
                      <w:rFonts w:ascii="Arial" w:hAnsi="Arial" w:cs="Arial"/>
                      <w:i/>
                      <w:spacing w:val="-2"/>
                    </w:rPr>
                    <w:t xml:space="preserve"> </w:t>
                  </w:r>
                  <w:r w:rsidRPr="00F6757C">
                    <w:rPr>
                      <w:rFonts w:ascii="Arial" w:hAnsi="Arial" w:cs="Arial"/>
                      <w:i/>
                    </w:rPr>
                    <w:t>di</w:t>
                  </w:r>
                  <w:r w:rsidRPr="00F6757C">
                    <w:rPr>
                      <w:rFonts w:ascii="Arial" w:hAnsi="Arial" w:cs="Arial"/>
                      <w:i/>
                      <w:spacing w:val="-3"/>
                    </w:rPr>
                    <w:t xml:space="preserve"> </w:t>
                  </w:r>
                  <w:r w:rsidRPr="00F6757C">
                    <w:rPr>
                      <w:rFonts w:ascii="Arial" w:hAnsi="Arial" w:cs="Arial"/>
                      <w:i/>
                    </w:rPr>
                    <w:t>oneri previdenziali</w:t>
                  </w:r>
                  <w:r w:rsidRPr="00F6757C">
                    <w:rPr>
                      <w:rFonts w:ascii="Arial" w:hAnsi="Arial" w:cs="Arial"/>
                      <w:i/>
                      <w:spacing w:val="-1"/>
                    </w:rPr>
                    <w:t xml:space="preserve"> </w:t>
                  </w:r>
                  <w:r w:rsidRPr="00F6757C">
                    <w:rPr>
                      <w:rFonts w:ascii="Arial" w:hAnsi="Arial" w:cs="Arial"/>
                      <w:i/>
                    </w:rPr>
                    <w:t>connessi.</w:t>
                  </w:r>
                </w:p>
                <w:p w:rsidR="00F6757C" w:rsidRPr="00F6757C" w:rsidRDefault="00F6757C" w:rsidP="000C6203">
                  <w:pPr>
                    <w:pStyle w:val="TableParagraph"/>
                    <w:tabs>
                      <w:tab w:val="left" w:pos="134"/>
                    </w:tabs>
                    <w:spacing w:before="5" w:line="237" w:lineRule="auto"/>
                    <w:ind w:left="420" w:right="95" w:hanging="328"/>
                    <w:jc w:val="both"/>
                    <w:rPr>
                      <w:rFonts w:ascii="Arial" w:hAnsi="Arial" w:cs="Arial"/>
                      <w:i/>
                      <w:sz w:val="16"/>
                      <w:szCs w:val="16"/>
                    </w:rPr>
                  </w:pPr>
                </w:p>
                <w:p w:rsidR="000C6203" w:rsidRPr="00F6757C" w:rsidRDefault="000C6203" w:rsidP="000C6203">
                  <w:pPr>
                    <w:pStyle w:val="TableParagraph"/>
                    <w:tabs>
                      <w:tab w:val="left" w:pos="134"/>
                    </w:tabs>
                    <w:spacing w:before="5" w:line="237" w:lineRule="auto"/>
                    <w:ind w:left="420" w:right="95" w:hanging="328"/>
                    <w:jc w:val="both"/>
                    <w:rPr>
                      <w:rFonts w:ascii="Arial" w:hAnsi="Arial" w:cs="Arial"/>
                      <w:i/>
                    </w:rPr>
                  </w:pPr>
                  <w:r w:rsidRPr="00F6757C">
                    <w:rPr>
                      <w:rFonts w:ascii="Arial" w:hAnsi="Arial" w:cs="Arial"/>
                      <w:i/>
                    </w:rPr>
                    <w:t>(11) Tali importi sono ammissibili se non recuperabili dal Beneficiario, nel rispetto</w:t>
                  </w:r>
                  <w:r w:rsidRPr="00F6757C">
                    <w:rPr>
                      <w:rFonts w:ascii="Arial" w:hAnsi="Arial" w:cs="Arial"/>
                      <w:i/>
                      <w:spacing w:val="-47"/>
                    </w:rPr>
                    <w:t xml:space="preserve">           </w:t>
                  </w:r>
                  <w:r w:rsidRPr="00F6757C">
                    <w:rPr>
                      <w:rFonts w:ascii="Arial" w:hAnsi="Arial" w:cs="Arial"/>
                      <w:i/>
                    </w:rPr>
                    <w:t>della</w:t>
                  </w:r>
                  <w:r w:rsidRPr="00F6757C">
                    <w:rPr>
                      <w:rFonts w:ascii="Arial" w:hAnsi="Arial" w:cs="Arial"/>
                      <w:i/>
                      <w:spacing w:val="-2"/>
                    </w:rPr>
                    <w:t xml:space="preserve"> </w:t>
                  </w:r>
                  <w:r w:rsidRPr="00F6757C">
                    <w:rPr>
                      <w:rFonts w:ascii="Arial" w:hAnsi="Arial" w:cs="Arial"/>
                      <w:i/>
                    </w:rPr>
                    <w:t>normativa</w:t>
                  </w:r>
                  <w:r w:rsidRPr="00F6757C">
                    <w:rPr>
                      <w:rFonts w:ascii="Arial" w:hAnsi="Arial" w:cs="Arial"/>
                      <w:i/>
                      <w:spacing w:val="-1"/>
                    </w:rPr>
                    <w:t xml:space="preserve"> </w:t>
                  </w:r>
                  <w:r w:rsidRPr="00F6757C">
                    <w:rPr>
                      <w:rFonts w:ascii="Arial" w:hAnsi="Arial" w:cs="Arial"/>
                      <w:i/>
                    </w:rPr>
                    <w:t>nazionale</w:t>
                  </w:r>
                  <w:r w:rsidRPr="00F6757C">
                    <w:rPr>
                      <w:rFonts w:ascii="Arial" w:hAnsi="Arial" w:cs="Arial"/>
                      <w:i/>
                      <w:spacing w:val="-2"/>
                    </w:rPr>
                    <w:t xml:space="preserve"> </w:t>
                  </w:r>
                  <w:r w:rsidRPr="00F6757C">
                    <w:rPr>
                      <w:rFonts w:ascii="Arial" w:hAnsi="Arial" w:cs="Arial"/>
                      <w:i/>
                    </w:rPr>
                    <w:t>vigente.</w:t>
                  </w:r>
                </w:p>
                <w:p w:rsidR="00F6757C" w:rsidRPr="00F6757C" w:rsidRDefault="00F6757C" w:rsidP="000C6203">
                  <w:pPr>
                    <w:pStyle w:val="TableParagraph"/>
                    <w:tabs>
                      <w:tab w:val="left" w:pos="134"/>
                    </w:tabs>
                    <w:spacing w:before="5" w:line="237" w:lineRule="auto"/>
                    <w:ind w:left="484" w:right="95" w:hanging="418"/>
                    <w:jc w:val="both"/>
                    <w:rPr>
                      <w:rFonts w:ascii="Arial" w:hAnsi="Arial" w:cs="Arial"/>
                      <w:i/>
                      <w:sz w:val="16"/>
                      <w:szCs w:val="16"/>
                    </w:rPr>
                  </w:pPr>
                </w:p>
                <w:p w:rsidR="000C6203" w:rsidRPr="00F6757C" w:rsidRDefault="000C6203" w:rsidP="000C6203">
                  <w:pPr>
                    <w:pStyle w:val="TableParagraph"/>
                    <w:tabs>
                      <w:tab w:val="left" w:pos="134"/>
                    </w:tabs>
                    <w:spacing w:before="5" w:line="237" w:lineRule="auto"/>
                    <w:ind w:left="484" w:right="95" w:hanging="418"/>
                    <w:jc w:val="both"/>
                    <w:rPr>
                      <w:rFonts w:ascii="Arial" w:hAnsi="Arial" w:cs="Arial"/>
                      <w:i/>
                    </w:rPr>
                  </w:pPr>
                  <w:r w:rsidRPr="00F6757C">
                    <w:rPr>
                      <w:rFonts w:ascii="Arial" w:hAnsi="Arial" w:cs="Arial"/>
                      <w:i/>
                    </w:rPr>
                    <w:t>(12) O</w:t>
                  </w:r>
                  <w:r w:rsidRPr="00F6757C">
                    <w:rPr>
                      <w:rFonts w:ascii="Arial" w:eastAsia="Times New Roman" w:hAnsi="Arial" w:cs="Arial"/>
                      <w:i/>
                      <w:color w:val="000000"/>
                      <w:lang w:eastAsia="it-IT"/>
                    </w:rPr>
                    <w:t>ve rileva, inserire le voci inerenti le spese generali e di attuazione e gestione del contratto relative ai servizi e/o forniture (quali ad esempio i compensi spettanti per l’attività di progettazione e verifica della conformità per i dipendenti nell’ambito dell’incentivo di cui all’articolo 45, etc.)</w:t>
                  </w:r>
                </w:p>
                <w:p w:rsidR="00F6757C" w:rsidRPr="00F6757C" w:rsidRDefault="00F6757C" w:rsidP="000C6203">
                  <w:pPr>
                    <w:pStyle w:val="TableParagraph"/>
                    <w:tabs>
                      <w:tab w:val="left" w:pos="134"/>
                    </w:tabs>
                    <w:spacing w:before="5" w:line="237" w:lineRule="auto"/>
                    <w:ind w:left="484" w:right="95" w:hanging="418"/>
                    <w:jc w:val="both"/>
                    <w:rPr>
                      <w:rFonts w:ascii="Arial" w:eastAsia="Times New Roman" w:hAnsi="Arial" w:cs="Arial"/>
                      <w:color w:val="000000"/>
                      <w:sz w:val="16"/>
                      <w:szCs w:val="16"/>
                      <w:lang w:eastAsia="it-IT"/>
                    </w:rPr>
                  </w:pPr>
                </w:p>
                <w:p w:rsidR="000C6203" w:rsidRPr="00F6757C" w:rsidRDefault="000C6203" w:rsidP="000C6203">
                  <w:pPr>
                    <w:pStyle w:val="TableParagraph"/>
                    <w:tabs>
                      <w:tab w:val="left" w:pos="134"/>
                    </w:tabs>
                    <w:spacing w:before="5" w:line="237" w:lineRule="auto"/>
                    <w:ind w:left="484" w:right="95" w:hanging="418"/>
                    <w:jc w:val="both"/>
                    <w:rPr>
                      <w:rFonts w:ascii="Arial" w:hAnsi="Arial" w:cs="Arial"/>
                      <w:i/>
                    </w:rPr>
                  </w:pPr>
                  <w:r w:rsidRPr="00F6757C">
                    <w:rPr>
                      <w:rFonts w:ascii="Arial" w:eastAsia="Times New Roman" w:hAnsi="Arial" w:cs="Arial"/>
                      <w:color w:val="000000"/>
                      <w:lang w:eastAsia="it-IT"/>
                    </w:rPr>
                    <w:t>(</w:t>
                  </w:r>
                  <w:r w:rsidRPr="00F6757C">
                    <w:rPr>
                      <w:rFonts w:ascii="Arial" w:eastAsia="Times New Roman" w:hAnsi="Arial" w:cs="Arial"/>
                      <w:i/>
                      <w:color w:val="000000"/>
                      <w:lang w:eastAsia="it-IT"/>
                    </w:rPr>
                    <w:t>13</w:t>
                  </w:r>
                  <w:r w:rsidRPr="00F6757C">
                    <w:rPr>
                      <w:rFonts w:ascii="Arial" w:eastAsia="Times New Roman" w:hAnsi="Arial" w:cs="Arial"/>
                      <w:color w:val="000000"/>
                      <w:lang w:eastAsia="it-IT"/>
                    </w:rPr>
                    <w:t xml:space="preserve">) </w:t>
                  </w:r>
                  <w:r w:rsidRPr="00F6757C">
                    <w:rPr>
                      <w:rFonts w:ascii="Arial" w:hAnsi="Arial" w:cs="Arial"/>
                      <w:i/>
                    </w:rPr>
                    <w:t>Il</w:t>
                  </w:r>
                  <w:r w:rsidRPr="00F6757C">
                    <w:rPr>
                      <w:rFonts w:ascii="Arial" w:hAnsi="Arial" w:cs="Arial"/>
                      <w:i/>
                      <w:spacing w:val="45"/>
                    </w:rPr>
                    <w:t xml:space="preserve"> </w:t>
                  </w:r>
                  <w:r w:rsidRPr="00F6757C">
                    <w:rPr>
                      <w:rFonts w:ascii="Arial" w:hAnsi="Arial" w:cs="Arial"/>
                      <w:i/>
                    </w:rPr>
                    <w:t>ribasso</w:t>
                  </w:r>
                  <w:r w:rsidRPr="00F6757C">
                    <w:rPr>
                      <w:rFonts w:ascii="Arial" w:hAnsi="Arial" w:cs="Arial"/>
                      <w:i/>
                      <w:spacing w:val="46"/>
                    </w:rPr>
                    <w:t xml:space="preserve"> </w:t>
                  </w:r>
                  <w:r w:rsidRPr="00F6757C">
                    <w:rPr>
                      <w:rFonts w:ascii="Arial" w:hAnsi="Arial" w:cs="Arial"/>
                      <w:i/>
                    </w:rPr>
                    <w:t>d’asta</w:t>
                  </w:r>
                  <w:r w:rsidRPr="00F6757C">
                    <w:rPr>
                      <w:rFonts w:ascii="Arial" w:hAnsi="Arial" w:cs="Arial"/>
                      <w:i/>
                      <w:spacing w:val="47"/>
                    </w:rPr>
                    <w:t xml:space="preserve"> </w:t>
                  </w:r>
                  <w:r w:rsidRPr="00F6757C">
                    <w:rPr>
                      <w:rFonts w:ascii="Arial" w:hAnsi="Arial" w:cs="Arial"/>
                      <w:i/>
                    </w:rPr>
                    <w:t>deve</w:t>
                  </w:r>
                  <w:r w:rsidRPr="00F6757C">
                    <w:rPr>
                      <w:rFonts w:ascii="Arial" w:hAnsi="Arial" w:cs="Arial"/>
                      <w:i/>
                      <w:spacing w:val="44"/>
                    </w:rPr>
                    <w:t xml:space="preserve"> </w:t>
                  </w:r>
                  <w:r w:rsidRPr="00F6757C">
                    <w:rPr>
                      <w:rFonts w:ascii="Arial" w:hAnsi="Arial" w:cs="Arial"/>
                      <w:i/>
                    </w:rPr>
                    <w:t>essere</w:t>
                  </w:r>
                  <w:r w:rsidRPr="00F6757C">
                    <w:rPr>
                      <w:rFonts w:ascii="Arial" w:hAnsi="Arial" w:cs="Arial"/>
                      <w:i/>
                      <w:spacing w:val="47"/>
                    </w:rPr>
                    <w:t xml:space="preserve"> </w:t>
                  </w:r>
                  <w:r w:rsidRPr="00F6757C">
                    <w:rPr>
                      <w:rFonts w:ascii="Arial" w:hAnsi="Arial" w:cs="Arial"/>
                      <w:i/>
                    </w:rPr>
                    <w:t>registrato</w:t>
                  </w:r>
                  <w:r w:rsidRPr="00F6757C">
                    <w:rPr>
                      <w:rFonts w:ascii="Arial" w:hAnsi="Arial" w:cs="Arial"/>
                      <w:i/>
                      <w:spacing w:val="46"/>
                    </w:rPr>
                    <w:t xml:space="preserve"> </w:t>
                  </w:r>
                  <w:r w:rsidRPr="00F6757C">
                    <w:rPr>
                      <w:rFonts w:ascii="Arial" w:hAnsi="Arial" w:cs="Arial"/>
                      <w:i/>
                    </w:rPr>
                    <w:t>nel</w:t>
                  </w:r>
                  <w:r w:rsidRPr="00F6757C">
                    <w:rPr>
                      <w:rFonts w:ascii="Arial" w:hAnsi="Arial" w:cs="Arial"/>
                      <w:i/>
                      <w:spacing w:val="47"/>
                    </w:rPr>
                    <w:t xml:space="preserve"> </w:t>
                  </w:r>
                  <w:r w:rsidRPr="00F6757C">
                    <w:rPr>
                      <w:rFonts w:ascii="Arial" w:hAnsi="Arial" w:cs="Arial"/>
                      <w:i/>
                    </w:rPr>
                    <w:t>quadro</w:t>
                  </w:r>
                  <w:r w:rsidRPr="00F6757C">
                    <w:rPr>
                      <w:rFonts w:ascii="Arial" w:hAnsi="Arial" w:cs="Arial"/>
                      <w:i/>
                      <w:spacing w:val="46"/>
                    </w:rPr>
                    <w:t xml:space="preserve"> </w:t>
                  </w:r>
                  <w:r w:rsidRPr="00F6757C">
                    <w:rPr>
                      <w:rFonts w:ascii="Arial" w:hAnsi="Arial" w:cs="Arial"/>
                      <w:i/>
                    </w:rPr>
                    <w:t>economico</w:t>
                  </w:r>
                  <w:r w:rsidRPr="00F6757C">
                    <w:rPr>
                      <w:rFonts w:ascii="Arial" w:hAnsi="Arial" w:cs="Arial"/>
                      <w:i/>
                      <w:spacing w:val="47"/>
                    </w:rPr>
                    <w:t xml:space="preserve"> </w:t>
                  </w:r>
                  <w:r w:rsidRPr="00F6757C">
                    <w:rPr>
                      <w:rFonts w:ascii="Arial" w:hAnsi="Arial" w:cs="Arial"/>
                      <w:i/>
                    </w:rPr>
                    <w:t>riapprovato</w:t>
                  </w:r>
                  <w:r w:rsidRPr="00F6757C">
                    <w:rPr>
                      <w:rFonts w:ascii="Arial" w:hAnsi="Arial" w:cs="Arial"/>
                      <w:i/>
                      <w:spacing w:val="46"/>
                    </w:rPr>
                    <w:t xml:space="preserve"> </w:t>
                  </w:r>
                  <w:r w:rsidRPr="00F6757C">
                    <w:rPr>
                      <w:rFonts w:ascii="Arial" w:hAnsi="Arial" w:cs="Arial"/>
                      <w:i/>
                    </w:rPr>
                    <w:t>dal</w:t>
                  </w:r>
                  <w:r w:rsidRPr="00F6757C">
                    <w:rPr>
                      <w:rFonts w:ascii="Arial" w:hAnsi="Arial" w:cs="Arial"/>
                      <w:i/>
                      <w:spacing w:val="47"/>
                    </w:rPr>
                    <w:t xml:space="preserve"> </w:t>
                  </w:r>
                  <w:r w:rsidRPr="00F6757C">
                    <w:rPr>
                      <w:rFonts w:ascii="Arial" w:hAnsi="Arial" w:cs="Arial"/>
                      <w:i/>
                    </w:rPr>
                    <w:t>beneficiario successivamente</w:t>
                  </w:r>
                  <w:r w:rsidRPr="00F6757C">
                    <w:rPr>
                      <w:rFonts w:ascii="Arial" w:hAnsi="Arial" w:cs="Arial"/>
                      <w:i/>
                      <w:spacing w:val="-4"/>
                    </w:rPr>
                    <w:t xml:space="preserve"> </w:t>
                  </w:r>
                  <w:r w:rsidRPr="00F6757C">
                    <w:rPr>
                      <w:rFonts w:ascii="Arial" w:hAnsi="Arial" w:cs="Arial"/>
                      <w:i/>
                    </w:rPr>
                    <w:t>all’aggiudicazione.</w:t>
                  </w:r>
                  <w:r w:rsidRPr="00F6757C">
                    <w:rPr>
                      <w:rFonts w:ascii="Arial" w:eastAsia="Times New Roman" w:hAnsi="Arial" w:cs="Arial"/>
                      <w:i/>
                      <w:color w:val="000000"/>
                      <w:lang w:eastAsia="it-IT"/>
                    </w:rPr>
                    <w:t xml:space="preserve"> </w:t>
                  </w:r>
                </w:p>
              </w:tc>
            </w:tr>
          </w:tbl>
          <w:p w:rsidR="000C6203" w:rsidRPr="000C6203" w:rsidRDefault="000C6203" w:rsidP="000C6203">
            <w:pPr>
              <w:spacing w:after="0" w:line="240" w:lineRule="auto"/>
              <w:jc w:val="center"/>
              <w:rPr>
                <w:rFonts w:ascii="Arial" w:eastAsia="Times New Roman" w:hAnsi="Arial" w:cs="Arial"/>
                <w:i/>
                <w:iCs/>
                <w:color w:val="000000"/>
                <w:lang w:eastAsia="it-IT"/>
              </w:rPr>
            </w:pPr>
          </w:p>
        </w:tc>
        <w:tc>
          <w:tcPr>
            <w:tcW w:w="960" w:type="dxa"/>
            <w:tcBorders>
              <w:top w:val="nil"/>
              <w:left w:val="nil"/>
              <w:bottom w:val="nil"/>
              <w:right w:val="nil"/>
            </w:tcBorders>
            <w:shd w:val="clear" w:color="auto" w:fill="auto"/>
            <w:noWrap/>
            <w:vAlign w:val="bottom"/>
            <w:hideMark/>
          </w:tcPr>
          <w:p w:rsidR="000C6203" w:rsidRPr="000C6203" w:rsidRDefault="000C6203" w:rsidP="000C6203">
            <w:pPr>
              <w:spacing w:after="0" w:line="240" w:lineRule="auto"/>
              <w:jc w:val="center"/>
              <w:rPr>
                <w:rFonts w:ascii="Arial" w:eastAsia="Times New Roman" w:hAnsi="Arial" w:cs="Arial"/>
                <w:i/>
                <w:iCs/>
                <w:color w:val="000000"/>
                <w:lang w:eastAsia="it-IT"/>
              </w:rPr>
            </w:pPr>
          </w:p>
        </w:tc>
      </w:tr>
    </w:tbl>
    <w:p w:rsidR="00AD0EF6" w:rsidRPr="004D6446" w:rsidRDefault="00AD0EF6" w:rsidP="00AD0EF6">
      <w:pPr>
        <w:pStyle w:val="NormaleWeb"/>
        <w:rPr>
          <w:rFonts w:ascii="Arial" w:hAnsi="Arial" w:cs="Arial"/>
          <w:b/>
          <w:bCs/>
          <w:color w:val="000000"/>
          <w:sz w:val="22"/>
          <w:szCs w:val="22"/>
        </w:rPr>
      </w:pPr>
    </w:p>
    <w:p w:rsidR="00B82701" w:rsidRDefault="00B82701"/>
    <w:p w:rsidR="00B82701" w:rsidRDefault="00B82701"/>
    <w:p w:rsidR="00B82701" w:rsidRDefault="00B82701" w:rsidP="00B82701">
      <w:pPr>
        <w:jc w:val="both"/>
      </w:pPr>
    </w:p>
    <w:sectPr w:rsidR="00B82701" w:rsidSect="00111496">
      <w:footerReference w:type="default" r:id="rId8"/>
      <w:pgSz w:w="11906" w:h="16838"/>
      <w:pgMar w:top="1417"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47D" w:rsidRDefault="009C047D" w:rsidP="00111496">
      <w:pPr>
        <w:spacing w:after="0" w:line="240" w:lineRule="auto"/>
      </w:pPr>
      <w:r>
        <w:separator/>
      </w:r>
    </w:p>
  </w:endnote>
  <w:endnote w:type="continuationSeparator" w:id="0">
    <w:p w:rsidR="009C047D" w:rsidRDefault="009C047D" w:rsidP="0011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401137"/>
      <w:docPartObj>
        <w:docPartGallery w:val="Page Numbers (Bottom of Page)"/>
        <w:docPartUnique/>
      </w:docPartObj>
    </w:sdtPr>
    <w:sdtContent>
      <w:p w:rsidR="00111496" w:rsidRDefault="00111496">
        <w:pPr>
          <w:pStyle w:val="Pidipagina"/>
          <w:jc w:val="center"/>
        </w:pPr>
        <w:r>
          <w:fldChar w:fldCharType="begin"/>
        </w:r>
        <w:r>
          <w:instrText>PAGE   \* MERGEFORMAT</w:instrText>
        </w:r>
        <w:r>
          <w:fldChar w:fldCharType="separate"/>
        </w:r>
        <w:r>
          <w:rPr>
            <w:noProof/>
          </w:rPr>
          <w:t>4</w:t>
        </w:r>
        <w:r>
          <w:fldChar w:fldCharType="end"/>
        </w:r>
      </w:p>
    </w:sdtContent>
  </w:sdt>
  <w:p w:rsidR="00111496" w:rsidRDefault="001114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47D" w:rsidRDefault="009C047D" w:rsidP="00111496">
      <w:pPr>
        <w:spacing w:after="0" w:line="240" w:lineRule="auto"/>
      </w:pPr>
      <w:r>
        <w:separator/>
      </w:r>
    </w:p>
  </w:footnote>
  <w:footnote w:type="continuationSeparator" w:id="0">
    <w:p w:rsidR="009C047D" w:rsidRDefault="009C047D" w:rsidP="001114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5738"/>
    <w:multiLevelType w:val="hybridMultilevel"/>
    <w:tmpl w:val="3C98F48A"/>
    <w:lvl w:ilvl="0" w:tplc="D7D82B88">
      <w:start w:val="7"/>
      <w:numFmt w:val="decimal"/>
      <w:lvlText w:val="(%1)"/>
      <w:lvlJc w:val="left"/>
      <w:pPr>
        <w:ind w:left="419" w:hanging="353"/>
      </w:pPr>
      <w:rPr>
        <w:rFonts w:ascii="Arial" w:eastAsia="Calibri" w:hAnsi="Arial" w:cs="Arial" w:hint="default"/>
        <w:i/>
        <w:iCs/>
        <w:spacing w:val="-1"/>
        <w:w w:val="100"/>
        <w:sz w:val="22"/>
        <w:szCs w:val="22"/>
        <w:lang w:val="it-IT" w:eastAsia="en-US" w:bidi="ar-SA"/>
      </w:rPr>
    </w:lvl>
    <w:lvl w:ilvl="1" w:tplc="EE280590">
      <w:numFmt w:val="bullet"/>
      <w:lvlText w:val="•"/>
      <w:lvlJc w:val="left"/>
      <w:pPr>
        <w:ind w:left="1282" w:hanging="353"/>
      </w:pPr>
      <w:rPr>
        <w:rFonts w:hint="default"/>
        <w:lang w:val="it-IT" w:eastAsia="en-US" w:bidi="ar-SA"/>
      </w:rPr>
    </w:lvl>
    <w:lvl w:ilvl="2" w:tplc="B114F6AE">
      <w:numFmt w:val="bullet"/>
      <w:lvlText w:val="•"/>
      <w:lvlJc w:val="left"/>
      <w:pPr>
        <w:ind w:left="2145" w:hanging="353"/>
      </w:pPr>
      <w:rPr>
        <w:rFonts w:hint="default"/>
        <w:lang w:val="it-IT" w:eastAsia="en-US" w:bidi="ar-SA"/>
      </w:rPr>
    </w:lvl>
    <w:lvl w:ilvl="3" w:tplc="1F16FFC8">
      <w:numFmt w:val="bullet"/>
      <w:lvlText w:val="•"/>
      <w:lvlJc w:val="left"/>
      <w:pPr>
        <w:ind w:left="3008" w:hanging="353"/>
      </w:pPr>
      <w:rPr>
        <w:rFonts w:hint="default"/>
        <w:lang w:val="it-IT" w:eastAsia="en-US" w:bidi="ar-SA"/>
      </w:rPr>
    </w:lvl>
    <w:lvl w:ilvl="4" w:tplc="2C96F114">
      <w:numFmt w:val="bullet"/>
      <w:lvlText w:val="•"/>
      <w:lvlJc w:val="left"/>
      <w:pPr>
        <w:ind w:left="3870" w:hanging="353"/>
      </w:pPr>
      <w:rPr>
        <w:rFonts w:hint="default"/>
        <w:lang w:val="it-IT" w:eastAsia="en-US" w:bidi="ar-SA"/>
      </w:rPr>
    </w:lvl>
    <w:lvl w:ilvl="5" w:tplc="244607A0">
      <w:numFmt w:val="bullet"/>
      <w:lvlText w:val="•"/>
      <w:lvlJc w:val="left"/>
      <w:pPr>
        <w:ind w:left="4733" w:hanging="353"/>
      </w:pPr>
      <w:rPr>
        <w:rFonts w:hint="default"/>
        <w:lang w:val="it-IT" w:eastAsia="en-US" w:bidi="ar-SA"/>
      </w:rPr>
    </w:lvl>
    <w:lvl w:ilvl="6" w:tplc="C4AEE3B0">
      <w:numFmt w:val="bullet"/>
      <w:lvlText w:val="•"/>
      <w:lvlJc w:val="left"/>
      <w:pPr>
        <w:ind w:left="5596" w:hanging="353"/>
      </w:pPr>
      <w:rPr>
        <w:rFonts w:hint="default"/>
        <w:lang w:val="it-IT" w:eastAsia="en-US" w:bidi="ar-SA"/>
      </w:rPr>
    </w:lvl>
    <w:lvl w:ilvl="7" w:tplc="7E9CC584">
      <w:numFmt w:val="bullet"/>
      <w:lvlText w:val="•"/>
      <w:lvlJc w:val="left"/>
      <w:pPr>
        <w:ind w:left="6458" w:hanging="353"/>
      </w:pPr>
      <w:rPr>
        <w:rFonts w:hint="default"/>
        <w:lang w:val="it-IT" w:eastAsia="en-US" w:bidi="ar-SA"/>
      </w:rPr>
    </w:lvl>
    <w:lvl w:ilvl="8" w:tplc="CF50C5E8">
      <w:numFmt w:val="bullet"/>
      <w:lvlText w:val="•"/>
      <w:lvlJc w:val="left"/>
      <w:pPr>
        <w:ind w:left="7321" w:hanging="353"/>
      </w:pPr>
      <w:rPr>
        <w:rFonts w:hint="default"/>
        <w:lang w:val="it-IT" w:eastAsia="en-US" w:bidi="ar-SA"/>
      </w:rPr>
    </w:lvl>
  </w:abstractNum>
  <w:abstractNum w:abstractNumId="1" w15:restartNumberingAfterBreak="0">
    <w:nsid w:val="0B7A0662"/>
    <w:multiLevelType w:val="hybridMultilevel"/>
    <w:tmpl w:val="E01E786A"/>
    <w:lvl w:ilvl="0" w:tplc="96DCF266">
      <w:start w:val="1"/>
      <w:numFmt w:val="decimal"/>
      <w:lvlText w:val="%1)"/>
      <w:lvlJc w:val="left"/>
      <w:pPr>
        <w:ind w:left="768" w:hanging="408"/>
      </w:pPr>
      <w:rPr>
        <w:rFonts w:hint="default"/>
        <w:b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40A5A45"/>
    <w:multiLevelType w:val="hybridMultilevel"/>
    <w:tmpl w:val="30AA5E6A"/>
    <w:lvl w:ilvl="0" w:tplc="F2A6568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00B00F8"/>
    <w:multiLevelType w:val="hybridMultilevel"/>
    <w:tmpl w:val="BB425C80"/>
    <w:lvl w:ilvl="0" w:tplc="0BDAE87C">
      <w:start w:val="7"/>
      <w:numFmt w:val="decimal"/>
      <w:lvlText w:val="(%1)"/>
      <w:lvlJc w:val="left"/>
      <w:pPr>
        <w:ind w:left="426" w:hanging="360"/>
      </w:pPr>
      <w:rPr>
        <w:rFonts w:hint="default"/>
      </w:rPr>
    </w:lvl>
    <w:lvl w:ilvl="1" w:tplc="04100019" w:tentative="1">
      <w:start w:val="1"/>
      <w:numFmt w:val="lowerLetter"/>
      <w:lvlText w:val="%2."/>
      <w:lvlJc w:val="left"/>
      <w:pPr>
        <w:ind w:left="1146" w:hanging="360"/>
      </w:pPr>
    </w:lvl>
    <w:lvl w:ilvl="2" w:tplc="0410001B" w:tentative="1">
      <w:start w:val="1"/>
      <w:numFmt w:val="lowerRoman"/>
      <w:lvlText w:val="%3."/>
      <w:lvlJc w:val="right"/>
      <w:pPr>
        <w:ind w:left="1866" w:hanging="180"/>
      </w:pPr>
    </w:lvl>
    <w:lvl w:ilvl="3" w:tplc="0410000F" w:tentative="1">
      <w:start w:val="1"/>
      <w:numFmt w:val="decimal"/>
      <w:lvlText w:val="%4."/>
      <w:lvlJc w:val="left"/>
      <w:pPr>
        <w:ind w:left="2586" w:hanging="360"/>
      </w:pPr>
    </w:lvl>
    <w:lvl w:ilvl="4" w:tplc="04100019" w:tentative="1">
      <w:start w:val="1"/>
      <w:numFmt w:val="lowerLetter"/>
      <w:lvlText w:val="%5."/>
      <w:lvlJc w:val="left"/>
      <w:pPr>
        <w:ind w:left="3306" w:hanging="360"/>
      </w:pPr>
    </w:lvl>
    <w:lvl w:ilvl="5" w:tplc="0410001B" w:tentative="1">
      <w:start w:val="1"/>
      <w:numFmt w:val="lowerRoman"/>
      <w:lvlText w:val="%6."/>
      <w:lvlJc w:val="right"/>
      <w:pPr>
        <w:ind w:left="4026" w:hanging="180"/>
      </w:pPr>
    </w:lvl>
    <w:lvl w:ilvl="6" w:tplc="0410000F" w:tentative="1">
      <w:start w:val="1"/>
      <w:numFmt w:val="decimal"/>
      <w:lvlText w:val="%7."/>
      <w:lvlJc w:val="left"/>
      <w:pPr>
        <w:ind w:left="4746" w:hanging="360"/>
      </w:pPr>
    </w:lvl>
    <w:lvl w:ilvl="7" w:tplc="04100019" w:tentative="1">
      <w:start w:val="1"/>
      <w:numFmt w:val="lowerLetter"/>
      <w:lvlText w:val="%8."/>
      <w:lvlJc w:val="left"/>
      <w:pPr>
        <w:ind w:left="5466" w:hanging="360"/>
      </w:pPr>
    </w:lvl>
    <w:lvl w:ilvl="8" w:tplc="0410001B" w:tentative="1">
      <w:start w:val="1"/>
      <w:numFmt w:val="lowerRoman"/>
      <w:lvlText w:val="%9."/>
      <w:lvlJc w:val="right"/>
      <w:pPr>
        <w:ind w:left="6186" w:hanging="180"/>
      </w:pPr>
    </w:lvl>
  </w:abstractNum>
  <w:abstractNum w:abstractNumId="4" w15:restartNumberingAfterBreak="0">
    <w:nsid w:val="50FA5DED"/>
    <w:multiLevelType w:val="hybridMultilevel"/>
    <w:tmpl w:val="4BE8931A"/>
    <w:lvl w:ilvl="0" w:tplc="E3388334">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68064B3"/>
    <w:multiLevelType w:val="hybridMultilevel"/>
    <w:tmpl w:val="F17CC550"/>
    <w:lvl w:ilvl="0" w:tplc="16EA6EDE">
      <w:start w:val="2"/>
      <w:numFmt w:val="decimal"/>
      <w:lvlText w:val="(%1)"/>
      <w:lvlJc w:val="left"/>
      <w:pPr>
        <w:ind w:left="419" w:hanging="317"/>
      </w:pPr>
      <w:rPr>
        <w:rFonts w:ascii="Calibri" w:eastAsia="Calibri" w:hAnsi="Calibri" w:cs="Calibri" w:hint="default"/>
        <w:i/>
        <w:iCs/>
        <w:w w:val="100"/>
        <w:sz w:val="22"/>
        <w:szCs w:val="22"/>
        <w:lang w:val="it-IT" w:eastAsia="en-US" w:bidi="ar-SA"/>
      </w:rPr>
    </w:lvl>
    <w:lvl w:ilvl="1" w:tplc="B82C0116">
      <w:numFmt w:val="bullet"/>
      <w:lvlText w:val="•"/>
      <w:lvlJc w:val="left"/>
      <w:pPr>
        <w:ind w:left="680" w:hanging="317"/>
      </w:pPr>
      <w:rPr>
        <w:rFonts w:hint="default"/>
        <w:lang w:val="it-IT" w:eastAsia="en-US" w:bidi="ar-SA"/>
      </w:rPr>
    </w:lvl>
    <w:lvl w:ilvl="2" w:tplc="F38A8242">
      <w:numFmt w:val="bullet"/>
      <w:lvlText w:val="•"/>
      <w:lvlJc w:val="left"/>
      <w:pPr>
        <w:ind w:left="1609" w:hanging="317"/>
      </w:pPr>
      <w:rPr>
        <w:rFonts w:hint="default"/>
        <w:lang w:val="it-IT" w:eastAsia="en-US" w:bidi="ar-SA"/>
      </w:rPr>
    </w:lvl>
    <w:lvl w:ilvl="3" w:tplc="B21669F2">
      <w:numFmt w:val="bullet"/>
      <w:lvlText w:val="•"/>
      <w:lvlJc w:val="left"/>
      <w:pPr>
        <w:ind w:left="2538" w:hanging="317"/>
      </w:pPr>
      <w:rPr>
        <w:rFonts w:hint="default"/>
        <w:lang w:val="it-IT" w:eastAsia="en-US" w:bidi="ar-SA"/>
      </w:rPr>
    </w:lvl>
    <w:lvl w:ilvl="4" w:tplc="0444EE62">
      <w:numFmt w:val="bullet"/>
      <w:lvlText w:val="•"/>
      <w:lvlJc w:val="left"/>
      <w:pPr>
        <w:ind w:left="3468" w:hanging="317"/>
      </w:pPr>
      <w:rPr>
        <w:rFonts w:hint="default"/>
        <w:lang w:val="it-IT" w:eastAsia="en-US" w:bidi="ar-SA"/>
      </w:rPr>
    </w:lvl>
    <w:lvl w:ilvl="5" w:tplc="AA306CE4">
      <w:numFmt w:val="bullet"/>
      <w:lvlText w:val="•"/>
      <w:lvlJc w:val="left"/>
      <w:pPr>
        <w:ind w:left="4397" w:hanging="317"/>
      </w:pPr>
      <w:rPr>
        <w:rFonts w:hint="default"/>
        <w:lang w:val="it-IT" w:eastAsia="en-US" w:bidi="ar-SA"/>
      </w:rPr>
    </w:lvl>
    <w:lvl w:ilvl="6" w:tplc="03A05A2E">
      <w:numFmt w:val="bullet"/>
      <w:lvlText w:val="•"/>
      <w:lvlJc w:val="left"/>
      <w:pPr>
        <w:ind w:left="5326" w:hanging="317"/>
      </w:pPr>
      <w:rPr>
        <w:rFonts w:hint="default"/>
        <w:lang w:val="it-IT" w:eastAsia="en-US" w:bidi="ar-SA"/>
      </w:rPr>
    </w:lvl>
    <w:lvl w:ilvl="7" w:tplc="E7E4AAFA">
      <w:numFmt w:val="bullet"/>
      <w:lvlText w:val="•"/>
      <w:lvlJc w:val="left"/>
      <w:pPr>
        <w:ind w:left="6256" w:hanging="317"/>
      </w:pPr>
      <w:rPr>
        <w:rFonts w:hint="default"/>
        <w:lang w:val="it-IT" w:eastAsia="en-US" w:bidi="ar-SA"/>
      </w:rPr>
    </w:lvl>
    <w:lvl w:ilvl="8" w:tplc="D988E996">
      <w:numFmt w:val="bullet"/>
      <w:lvlText w:val="•"/>
      <w:lvlJc w:val="left"/>
      <w:pPr>
        <w:ind w:left="7185" w:hanging="317"/>
      </w:pPr>
      <w:rPr>
        <w:rFonts w:hint="default"/>
        <w:lang w:val="it-IT" w:eastAsia="en-US" w:bidi="ar-SA"/>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F6"/>
    <w:rsid w:val="00010D42"/>
    <w:rsid w:val="0008539E"/>
    <w:rsid w:val="000A012F"/>
    <w:rsid w:val="000B7792"/>
    <w:rsid w:val="000C6203"/>
    <w:rsid w:val="000E44C0"/>
    <w:rsid w:val="000E4A6D"/>
    <w:rsid w:val="0010054F"/>
    <w:rsid w:val="00111496"/>
    <w:rsid w:val="00116F3A"/>
    <w:rsid w:val="00136880"/>
    <w:rsid w:val="00161C21"/>
    <w:rsid w:val="0017184B"/>
    <w:rsid w:val="00191B1F"/>
    <w:rsid w:val="00197CEF"/>
    <w:rsid w:val="001A608C"/>
    <w:rsid w:val="001A780C"/>
    <w:rsid w:val="001C15C8"/>
    <w:rsid w:val="001F4CBB"/>
    <w:rsid w:val="002040D9"/>
    <w:rsid w:val="002051B3"/>
    <w:rsid w:val="0027200B"/>
    <w:rsid w:val="002749EF"/>
    <w:rsid w:val="00275663"/>
    <w:rsid w:val="002A3F8F"/>
    <w:rsid w:val="002F3DD9"/>
    <w:rsid w:val="00320832"/>
    <w:rsid w:val="003229B9"/>
    <w:rsid w:val="00333FE1"/>
    <w:rsid w:val="00341FF9"/>
    <w:rsid w:val="003673C9"/>
    <w:rsid w:val="00371800"/>
    <w:rsid w:val="003933F6"/>
    <w:rsid w:val="003C442D"/>
    <w:rsid w:val="003D048D"/>
    <w:rsid w:val="003D3AFA"/>
    <w:rsid w:val="003D75C3"/>
    <w:rsid w:val="003F0F51"/>
    <w:rsid w:val="004041B3"/>
    <w:rsid w:val="00406119"/>
    <w:rsid w:val="004065E1"/>
    <w:rsid w:val="00421C36"/>
    <w:rsid w:val="00436EA7"/>
    <w:rsid w:val="00496702"/>
    <w:rsid w:val="00496AB4"/>
    <w:rsid w:val="004C4215"/>
    <w:rsid w:val="004D6446"/>
    <w:rsid w:val="00524329"/>
    <w:rsid w:val="00545B74"/>
    <w:rsid w:val="00564AC0"/>
    <w:rsid w:val="00592CAC"/>
    <w:rsid w:val="005A3AFB"/>
    <w:rsid w:val="005C01C3"/>
    <w:rsid w:val="005C68BF"/>
    <w:rsid w:val="005C775B"/>
    <w:rsid w:val="006030F6"/>
    <w:rsid w:val="00612BB6"/>
    <w:rsid w:val="00613ED1"/>
    <w:rsid w:val="00615146"/>
    <w:rsid w:val="00624EE8"/>
    <w:rsid w:val="00657147"/>
    <w:rsid w:val="0066478B"/>
    <w:rsid w:val="006767F1"/>
    <w:rsid w:val="0068435F"/>
    <w:rsid w:val="006A4142"/>
    <w:rsid w:val="006B1D18"/>
    <w:rsid w:val="006B7529"/>
    <w:rsid w:val="006C2629"/>
    <w:rsid w:val="006E3A84"/>
    <w:rsid w:val="006E3AB4"/>
    <w:rsid w:val="006E7667"/>
    <w:rsid w:val="006F1B6E"/>
    <w:rsid w:val="006F211A"/>
    <w:rsid w:val="006F3EA6"/>
    <w:rsid w:val="00705C7C"/>
    <w:rsid w:val="0071507E"/>
    <w:rsid w:val="007377B3"/>
    <w:rsid w:val="00744DEC"/>
    <w:rsid w:val="00747A01"/>
    <w:rsid w:val="007727C0"/>
    <w:rsid w:val="00776D50"/>
    <w:rsid w:val="007827EF"/>
    <w:rsid w:val="007A43E0"/>
    <w:rsid w:val="007A5619"/>
    <w:rsid w:val="007D159A"/>
    <w:rsid w:val="007F7570"/>
    <w:rsid w:val="0081657D"/>
    <w:rsid w:val="00864F40"/>
    <w:rsid w:val="008848A0"/>
    <w:rsid w:val="00885321"/>
    <w:rsid w:val="008B22EC"/>
    <w:rsid w:val="008D7F8B"/>
    <w:rsid w:val="008F7805"/>
    <w:rsid w:val="009128F9"/>
    <w:rsid w:val="009221A7"/>
    <w:rsid w:val="00924A3F"/>
    <w:rsid w:val="00941C20"/>
    <w:rsid w:val="00942805"/>
    <w:rsid w:val="00971BD7"/>
    <w:rsid w:val="00995540"/>
    <w:rsid w:val="009C047D"/>
    <w:rsid w:val="009D12E8"/>
    <w:rsid w:val="009D2175"/>
    <w:rsid w:val="009F1319"/>
    <w:rsid w:val="00A020D7"/>
    <w:rsid w:val="00A22583"/>
    <w:rsid w:val="00A2361A"/>
    <w:rsid w:val="00A24EE1"/>
    <w:rsid w:val="00A41008"/>
    <w:rsid w:val="00A539F5"/>
    <w:rsid w:val="00A70951"/>
    <w:rsid w:val="00AC13F1"/>
    <w:rsid w:val="00AD0EF6"/>
    <w:rsid w:val="00AD7C3E"/>
    <w:rsid w:val="00AE044C"/>
    <w:rsid w:val="00B351C5"/>
    <w:rsid w:val="00B472CD"/>
    <w:rsid w:val="00B82701"/>
    <w:rsid w:val="00B86987"/>
    <w:rsid w:val="00B96173"/>
    <w:rsid w:val="00C05053"/>
    <w:rsid w:val="00C772B6"/>
    <w:rsid w:val="00C95C16"/>
    <w:rsid w:val="00C97E24"/>
    <w:rsid w:val="00CA01D5"/>
    <w:rsid w:val="00CA1A7A"/>
    <w:rsid w:val="00CD22AA"/>
    <w:rsid w:val="00CE6726"/>
    <w:rsid w:val="00D063A3"/>
    <w:rsid w:val="00D10639"/>
    <w:rsid w:val="00D33F8C"/>
    <w:rsid w:val="00D55579"/>
    <w:rsid w:val="00D95A13"/>
    <w:rsid w:val="00E34803"/>
    <w:rsid w:val="00ED24B5"/>
    <w:rsid w:val="00EF4832"/>
    <w:rsid w:val="00EF65DB"/>
    <w:rsid w:val="00F278EF"/>
    <w:rsid w:val="00F64A86"/>
    <w:rsid w:val="00F6757C"/>
    <w:rsid w:val="00F76298"/>
    <w:rsid w:val="00F87F58"/>
    <w:rsid w:val="00FA5055"/>
    <w:rsid w:val="00FB15CC"/>
    <w:rsid w:val="00FB22C0"/>
    <w:rsid w:val="00FE06B4"/>
    <w:rsid w:val="00FE20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2236"/>
  <w15:chartTrackingRefBased/>
  <w15:docId w15:val="{10EC3FF6-625F-48E5-9794-93B34924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D0EF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D0EF6"/>
    <w:rPr>
      <w:color w:val="0000FF"/>
      <w:u w:val="single"/>
    </w:rPr>
  </w:style>
  <w:style w:type="character" w:styleId="Rimandocommento">
    <w:name w:val="annotation reference"/>
    <w:basedOn w:val="Carpredefinitoparagrafo"/>
    <w:uiPriority w:val="99"/>
    <w:semiHidden/>
    <w:unhideWhenUsed/>
    <w:rsid w:val="00AD0EF6"/>
    <w:rPr>
      <w:sz w:val="16"/>
      <w:szCs w:val="16"/>
    </w:rPr>
  </w:style>
  <w:style w:type="paragraph" w:styleId="Testocommento">
    <w:name w:val="annotation text"/>
    <w:basedOn w:val="Normale"/>
    <w:link w:val="TestocommentoCarattere"/>
    <w:uiPriority w:val="99"/>
    <w:semiHidden/>
    <w:unhideWhenUsed/>
    <w:rsid w:val="00AD0EF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D0EF6"/>
    <w:rPr>
      <w:sz w:val="20"/>
      <w:szCs w:val="20"/>
    </w:rPr>
  </w:style>
  <w:style w:type="paragraph" w:styleId="Soggettocommento">
    <w:name w:val="annotation subject"/>
    <w:basedOn w:val="Testocommento"/>
    <w:next w:val="Testocommento"/>
    <w:link w:val="SoggettocommentoCarattere"/>
    <w:uiPriority w:val="99"/>
    <w:semiHidden/>
    <w:unhideWhenUsed/>
    <w:rsid w:val="00AD0EF6"/>
    <w:rPr>
      <w:b/>
      <w:bCs/>
    </w:rPr>
  </w:style>
  <w:style w:type="character" w:customStyle="1" w:styleId="SoggettocommentoCarattere">
    <w:name w:val="Soggetto commento Carattere"/>
    <w:basedOn w:val="TestocommentoCarattere"/>
    <w:link w:val="Soggettocommento"/>
    <w:uiPriority w:val="99"/>
    <w:semiHidden/>
    <w:rsid w:val="00AD0EF6"/>
    <w:rPr>
      <w:b/>
      <w:bCs/>
      <w:sz w:val="20"/>
      <w:szCs w:val="20"/>
    </w:rPr>
  </w:style>
  <w:style w:type="paragraph" w:styleId="Testofumetto">
    <w:name w:val="Balloon Text"/>
    <w:basedOn w:val="Normale"/>
    <w:link w:val="TestofumettoCarattere"/>
    <w:uiPriority w:val="99"/>
    <w:semiHidden/>
    <w:unhideWhenUsed/>
    <w:rsid w:val="00AD0EF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D0EF6"/>
    <w:rPr>
      <w:rFonts w:ascii="Segoe UI" w:hAnsi="Segoe UI" w:cs="Segoe UI"/>
      <w:sz w:val="18"/>
      <w:szCs w:val="18"/>
    </w:rPr>
  </w:style>
  <w:style w:type="table" w:styleId="Grigliatabella">
    <w:name w:val="Table Grid"/>
    <w:basedOn w:val="Tabellanormale"/>
    <w:uiPriority w:val="39"/>
    <w:rsid w:val="000E4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3ED1"/>
    <w:pPr>
      <w:ind w:left="720"/>
      <w:contextualSpacing/>
    </w:pPr>
  </w:style>
  <w:style w:type="paragraph" w:customStyle="1" w:styleId="TableParagraph">
    <w:name w:val="Table Paragraph"/>
    <w:basedOn w:val="Normale"/>
    <w:uiPriority w:val="1"/>
    <w:qFormat/>
    <w:rsid w:val="00613ED1"/>
    <w:pPr>
      <w:widowControl w:val="0"/>
      <w:autoSpaceDE w:val="0"/>
      <w:autoSpaceDN w:val="0"/>
      <w:spacing w:after="0" w:line="248" w:lineRule="exact"/>
      <w:ind w:left="107"/>
    </w:pPr>
    <w:rPr>
      <w:rFonts w:ascii="Calibri" w:eastAsia="Calibri" w:hAnsi="Calibri" w:cs="Calibri"/>
    </w:rPr>
  </w:style>
  <w:style w:type="character" w:styleId="Enfasicorsivo">
    <w:name w:val="Emphasis"/>
    <w:basedOn w:val="Carpredefinitoparagrafo"/>
    <w:uiPriority w:val="20"/>
    <w:qFormat/>
    <w:rsid w:val="004C4215"/>
    <w:rPr>
      <w:i/>
      <w:iCs/>
    </w:rPr>
  </w:style>
  <w:style w:type="table" w:customStyle="1" w:styleId="TableNormal">
    <w:name w:val="Table Normal"/>
    <w:uiPriority w:val="2"/>
    <w:semiHidden/>
    <w:unhideWhenUsed/>
    <w:qFormat/>
    <w:rsid w:val="00CA1A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one">
    <w:name w:val="Revision"/>
    <w:hidden/>
    <w:uiPriority w:val="99"/>
    <w:semiHidden/>
    <w:rsid w:val="00AC13F1"/>
    <w:pPr>
      <w:spacing w:after="0" w:line="240" w:lineRule="auto"/>
    </w:pPr>
  </w:style>
  <w:style w:type="paragraph" w:styleId="Intestazione">
    <w:name w:val="header"/>
    <w:basedOn w:val="Normale"/>
    <w:link w:val="IntestazioneCarattere"/>
    <w:uiPriority w:val="99"/>
    <w:unhideWhenUsed/>
    <w:rsid w:val="0011149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1496"/>
  </w:style>
  <w:style w:type="paragraph" w:styleId="Pidipagina">
    <w:name w:val="footer"/>
    <w:basedOn w:val="Normale"/>
    <w:link w:val="PidipaginaCarattere"/>
    <w:uiPriority w:val="99"/>
    <w:unhideWhenUsed/>
    <w:rsid w:val="0011149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11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135430">
      <w:bodyDiv w:val="1"/>
      <w:marLeft w:val="0"/>
      <w:marRight w:val="0"/>
      <w:marTop w:val="0"/>
      <w:marBottom w:val="0"/>
      <w:divBdr>
        <w:top w:val="none" w:sz="0" w:space="0" w:color="auto"/>
        <w:left w:val="none" w:sz="0" w:space="0" w:color="auto"/>
        <w:bottom w:val="none" w:sz="0" w:space="0" w:color="auto"/>
        <w:right w:val="none" w:sz="0" w:space="0" w:color="auto"/>
      </w:divBdr>
      <w:divsChild>
        <w:div w:id="206393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69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62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757241">
      <w:bodyDiv w:val="1"/>
      <w:marLeft w:val="0"/>
      <w:marRight w:val="0"/>
      <w:marTop w:val="0"/>
      <w:marBottom w:val="0"/>
      <w:divBdr>
        <w:top w:val="none" w:sz="0" w:space="0" w:color="auto"/>
        <w:left w:val="none" w:sz="0" w:space="0" w:color="auto"/>
        <w:bottom w:val="none" w:sz="0" w:space="0" w:color="auto"/>
        <w:right w:val="none" w:sz="0" w:space="0" w:color="auto"/>
      </w:divBdr>
      <w:divsChild>
        <w:div w:id="2021154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4943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477516">
      <w:bodyDiv w:val="1"/>
      <w:marLeft w:val="0"/>
      <w:marRight w:val="0"/>
      <w:marTop w:val="0"/>
      <w:marBottom w:val="0"/>
      <w:divBdr>
        <w:top w:val="none" w:sz="0" w:space="0" w:color="auto"/>
        <w:left w:val="none" w:sz="0" w:space="0" w:color="auto"/>
        <w:bottom w:val="none" w:sz="0" w:space="0" w:color="auto"/>
        <w:right w:val="none" w:sz="0" w:space="0" w:color="auto"/>
      </w:divBdr>
    </w:div>
    <w:div w:id="1628194466">
      <w:bodyDiv w:val="1"/>
      <w:marLeft w:val="0"/>
      <w:marRight w:val="0"/>
      <w:marTop w:val="0"/>
      <w:marBottom w:val="0"/>
      <w:divBdr>
        <w:top w:val="none" w:sz="0" w:space="0" w:color="auto"/>
        <w:left w:val="none" w:sz="0" w:space="0" w:color="auto"/>
        <w:bottom w:val="none" w:sz="0" w:space="0" w:color="auto"/>
        <w:right w:val="none" w:sz="0" w:space="0" w:color="auto"/>
      </w:divBdr>
    </w:div>
    <w:div w:id="185113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A0054-6F88-498C-8C01-A63EF6067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2357</Words>
  <Characters>13439</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Notte Concetta</dc:creator>
  <cp:keywords/>
  <dc:description/>
  <cp:lastModifiedBy>La Notte Concetta</cp:lastModifiedBy>
  <cp:revision>6</cp:revision>
  <cp:lastPrinted>2024-06-27T14:54:00Z</cp:lastPrinted>
  <dcterms:created xsi:type="dcterms:W3CDTF">2024-07-23T09:23:00Z</dcterms:created>
  <dcterms:modified xsi:type="dcterms:W3CDTF">2024-07-23T11:07:00Z</dcterms:modified>
</cp:coreProperties>
</file>