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7C8" w:rsidRPr="00136815" w:rsidRDefault="005A1DEA" w:rsidP="00136815">
      <w:pPr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MANUALE DELLE PROCEDURE ADG – ALLEGATO 1</w:t>
      </w:r>
      <w:r w:rsidR="0035777D">
        <w:rPr>
          <w:rFonts w:ascii="Times New Roman" w:hAnsi="Times New Roman" w:cs="Times New Roman"/>
          <w:b/>
          <w:sz w:val="22"/>
          <w:szCs w:val="22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sz w:val="22"/>
          <w:szCs w:val="22"/>
        </w:rPr>
        <w:t xml:space="preserve">.5 </w:t>
      </w:r>
    </w:p>
    <w:p w:rsidR="003A216D" w:rsidRDefault="003A216D" w:rsidP="00D5141A">
      <w:pPr>
        <w:spacing w:line="300" w:lineRule="atLeast"/>
        <w:jc w:val="center"/>
        <w:rPr>
          <w:rFonts w:ascii="Tahoma" w:hAnsi="Tahoma" w:cs="Tahoma"/>
          <w:sz w:val="22"/>
          <w:szCs w:val="22"/>
        </w:rPr>
      </w:pPr>
    </w:p>
    <w:p w:rsidR="003A216D" w:rsidRDefault="003A216D" w:rsidP="00D5141A">
      <w:pPr>
        <w:spacing w:line="300" w:lineRule="atLeast"/>
        <w:jc w:val="center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spacing w:line="300" w:lineRule="atLeast"/>
        <w:jc w:val="center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SCHEDA IDENTIFICATIVA:</w:t>
      </w: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tbl>
      <w:tblPr>
        <w:tblW w:w="9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402"/>
        <w:gridCol w:w="6543"/>
      </w:tblGrid>
      <w:tr w:rsidR="00D5141A" w:rsidRPr="00F22EC8" w:rsidTr="00B14C8B">
        <w:trPr>
          <w:trHeight w:val="320"/>
          <w:tblHeader/>
        </w:trPr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eastAsia="Times New Roman" w:hAnsi="Tahoma" w:cs="Tahoma"/>
                <w:b/>
                <w:bCs/>
                <w:sz w:val="22"/>
                <w:szCs w:val="22"/>
              </w:rPr>
            </w:pPr>
            <w:r w:rsidRPr="00F22EC8">
              <w:rPr>
                <w:rFonts w:ascii="Tahoma" w:eastAsia="Times New Roman" w:hAnsi="Tahoma" w:cs="Tahoma"/>
                <w:b/>
                <w:bCs/>
                <w:sz w:val="22"/>
                <w:szCs w:val="22"/>
              </w:rPr>
              <w:t xml:space="preserve">INFORMAZIONE RICHIESTA </w:t>
            </w:r>
          </w:p>
        </w:tc>
        <w:tc>
          <w:tcPr>
            <w:tcW w:w="65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eastAsia="Times New Roman" w:hAnsi="Tahoma" w:cs="Tahoma"/>
                <w:b/>
                <w:bCs/>
                <w:sz w:val="22"/>
                <w:szCs w:val="22"/>
              </w:rPr>
            </w:pPr>
            <w:r w:rsidRPr="00F22EC8">
              <w:rPr>
                <w:rFonts w:ascii="Tahoma" w:eastAsia="Times New Roman" w:hAnsi="Tahoma" w:cs="Tahoma"/>
                <w:b/>
                <w:bCs/>
                <w:sz w:val="22"/>
                <w:szCs w:val="22"/>
              </w:rPr>
              <w:t xml:space="preserve">RISPOSTA </w:t>
            </w:r>
          </w:p>
        </w:tc>
      </w:tr>
      <w:tr w:rsidR="00D5141A" w:rsidRPr="00F22EC8" w:rsidTr="00B14C8B">
        <w:trPr>
          <w:trHeight w:val="32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Condivisione con il Partenariato </w:t>
            </w:r>
          </w:p>
        </w:tc>
        <w:tc>
          <w:tcPr>
            <w:tcW w:w="6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SI                              NO </w:t>
            </w:r>
          </w:p>
        </w:tc>
      </w:tr>
      <w:tr w:rsidR="00D5141A" w:rsidRPr="00F22EC8" w:rsidTr="00B14C8B">
        <w:trPr>
          <w:trHeight w:val="32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Tipologia di procedura che si intende attivare </w:t>
            </w:r>
          </w:p>
        </w:tc>
        <w:tc>
          <w:tcPr>
            <w:tcW w:w="6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 AVVISO PUBBLICO/APPALTO</w:t>
            </w: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Denominazione  della Procedura d’attivazione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trHeight w:val="360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ASSE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Obiettivo specifico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Tipologia d’azione</w:t>
            </w:r>
            <w:r w:rsidRPr="00F22EC8">
              <w:rPr>
                <w:rStyle w:val="Rimandonotaapidipagina"/>
                <w:rFonts w:ascii="Tahoma" w:hAnsi="Tahoma" w:cs="Tahoma"/>
                <w:sz w:val="22"/>
                <w:szCs w:val="22"/>
              </w:rPr>
              <w:footnoteReference w:id="1"/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Tipologia di operazione</w:t>
            </w:r>
            <w:r w:rsidRPr="00F22EC8">
              <w:rPr>
                <w:rStyle w:val="Rimandonotaapidipagina"/>
                <w:rFonts w:ascii="Tahoma" w:hAnsi="Tahoma" w:cs="Tahoma"/>
                <w:sz w:val="22"/>
                <w:szCs w:val="22"/>
              </w:rPr>
              <w:footnoteReference w:id="2"/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U.C.O.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Importo destinato all’Avviso /importo complessivo a base di gara (IVA esclusa)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Eventuale importo destinato al finanziamento di azioni che rientrano nel campo di intervento FESR ( art. 98 del Reg. (UE) n. 1303/2013 – principio di complementarietà)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Descrizione della procedura d’attivazione contenente indicazione degli obiettivi generali/finalità dell’Avviso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Beneficiari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Eventuale importo massimo per singola operazione finanziabile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Principali categorie di destinatari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Indicatore che si prevede di valorizzare 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Numero di destinatari (sulla base dell’indicatore su identificato) che si prevede di intercettare 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32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lastRenderedPageBreak/>
              <w:t xml:space="preserve">Importo per destinatario ipotizzato </w:t>
            </w:r>
          </w:p>
        </w:tc>
        <w:tc>
          <w:tcPr>
            <w:tcW w:w="6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D5141A" w:rsidRPr="00F22EC8" w:rsidTr="00B14C8B">
        <w:trPr>
          <w:trHeight w:val="48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Modalità di calcolo del numero di destinatari e dell’importo per destinatario ipotizzato </w:t>
            </w:r>
          </w:p>
        </w:tc>
        <w:tc>
          <w:tcPr>
            <w:tcW w:w="6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modalità e tempi di presentazione delle candidature/proposte progettuali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Durata massima prevista per la procedura d’attivazione  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Durata massima, se prevista, per la singola operazione finanziabile  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spacing w:line="300" w:lineRule="atLeast"/>
        <w:jc w:val="both"/>
        <w:rPr>
          <w:rFonts w:ascii="Tahoma" w:hAnsi="Tahoma" w:cs="Tahoma"/>
          <w:bCs/>
          <w:sz w:val="22"/>
          <w:szCs w:val="22"/>
        </w:rPr>
      </w:pPr>
      <w:r w:rsidRPr="00F22EC8">
        <w:rPr>
          <w:rFonts w:ascii="Tahoma" w:hAnsi="Tahoma" w:cs="Tahoma"/>
          <w:bCs/>
          <w:sz w:val="22"/>
          <w:szCs w:val="22"/>
        </w:rPr>
        <w:t>Per rilasciare il parere l’AdG si avvale della seguente check list:</w:t>
      </w:r>
    </w:p>
    <w:p w:rsidR="00D5141A" w:rsidRPr="00F22EC8" w:rsidRDefault="00D5141A" w:rsidP="00D5141A">
      <w:pPr>
        <w:spacing w:line="300" w:lineRule="atLeast"/>
        <w:jc w:val="both"/>
        <w:rPr>
          <w:rFonts w:ascii="Tahoma" w:hAnsi="Tahoma" w:cs="Tahoma"/>
          <w:bCs/>
          <w:sz w:val="22"/>
          <w:szCs w:val="22"/>
        </w:rPr>
      </w:pPr>
    </w:p>
    <w:p w:rsidR="00D5141A" w:rsidRPr="00F22EC8" w:rsidRDefault="00D5141A" w:rsidP="00D5141A">
      <w:pPr>
        <w:spacing w:line="300" w:lineRule="atLeast"/>
        <w:jc w:val="center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PARERE DI CONFORMITA’</w:t>
      </w:r>
    </w:p>
    <w:p w:rsidR="00D5141A" w:rsidRPr="00F22EC8" w:rsidRDefault="00D5141A" w:rsidP="00D5141A">
      <w:pPr>
        <w:spacing w:line="300" w:lineRule="atLeast"/>
        <w:jc w:val="center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art. 125 paragrafo 3 lett. b) Reg. (UE) n. 1303/2013</w:t>
      </w: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pStyle w:val="Paragrafoelenco"/>
        <w:numPr>
          <w:ilvl w:val="0"/>
          <w:numId w:val="44"/>
        </w:numPr>
        <w:spacing w:line="300" w:lineRule="atLeast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CONFORMITA’ DELLA PROCEDURA D’ATTIVAZIONE ALLE REGOLE COMUNITARIE E NAZIONALI IN MATERIA DI SPESE AMMISSIBILI AL COFINANZIAMENTO DEL FSE</w:t>
      </w:r>
    </w:p>
    <w:p w:rsidR="00D5141A" w:rsidRPr="00F22EC8" w:rsidRDefault="00D5141A" w:rsidP="00D5141A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4034"/>
        <w:gridCol w:w="1136"/>
        <w:gridCol w:w="3353"/>
      </w:tblGrid>
      <w:tr w:rsidR="00D5141A" w:rsidRPr="00F22EC8" w:rsidTr="00B14C8B">
        <w:trPr>
          <w:trHeight w:val="540"/>
          <w:tblHeader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COD. PROGR.</w:t>
            </w:r>
          </w:p>
        </w:tc>
        <w:tc>
          <w:tcPr>
            <w:tcW w:w="4034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1136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SI/NO/NP</w:t>
            </w:r>
          </w:p>
        </w:tc>
        <w:tc>
          <w:tcPr>
            <w:tcW w:w="335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NOTE</w:t>
            </w: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23" w:type="dxa"/>
            <w:gridSpan w:val="3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REGOLAMENTI COMUNITARI</w:t>
            </w: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034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al Reg. (UE) n. 1303/2013 ed in particolare alle disposizioni sull’ammissibilità della spesa (art. 65 e ss)</w:t>
            </w:r>
          </w:p>
        </w:tc>
        <w:tc>
          <w:tcPr>
            <w:tcW w:w="1136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34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al Reg. (UE) n. 1304/2013 ed in particolare alle disposizioni sull’ammissibilità della spesa (art. 13 e ss)</w:t>
            </w:r>
          </w:p>
        </w:tc>
        <w:tc>
          <w:tcPr>
            <w:tcW w:w="1136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34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Rispetto adempimenti pubblicitari e presenza loghi</w:t>
            </w:r>
          </w:p>
        </w:tc>
        <w:tc>
          <w:tcPr>
            <w:tcW w:w="1136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34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alla normativa relativa agli Aiuti di Stato</w:t>
            </w:r>
          </w:p>
        </w:tc>
        <w:tc>
          <w:tcPr>
            <w:tcW w:w="1136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23" w:type="dxa"/>
            <w:gridSpan w:val="3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DISPOSIZIONI NAZIONALI </w:t>
            </w: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34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Conformità della Procedura d’attivazione alla normativa nazionale </w:t>
            </w:r>
            <w:r w:rsidRPr="00F22EC8">
              <w:rPr>
                <w:rFonts w:ascii="Tahoma" w:hAnsi="Tahoma" w:cs="Tahoma"/>
                <w:sz w:val="22"/>
                <w:szCs w:val="22"/>
              </w:rPr>
              <w:lastRenderedPageBreak/>
              <w:t>emanata in materia di ammissibilità della spesa</w:t>
            </w:r>
          </w:p>
        </w:tc>
        <w:tc>
          <w:tcPr>
            <w:tcW w:w="1136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34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al vademecum per l’ammissibilità della spesa</w:t>
            </w:r>
          </w:p>
        </w:tc>
        <w:tc>
          <w:tcPr>
            <w:tcW w:w="1136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23" w:type="dxa"/>
            <w:gridSpan w:val="3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DISPOSIZIONI REGIONALI</w:t>
            </w: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34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conformità della Procedura d’attivazione al Sistema di gestione e controllo del Po FSE Basilicata </w:t>
            </w:r>
          </w:p>
        </w:tc>
        <w:tc>
          <w:tcPr>
            <w:tcW w:w="1136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pStyle w:val="Paragrafoelenco"/>
        <w:numPr>
          <w:ilvl w:val="0"/>
          <w:numId w:val="44"/>
        </w:numPr>
        <w:spacing w:line="300" w:lineRule="atLeast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COERENZA DELLA PROCEDURA D’ATTIVAZIONE CON IL P.O. FSE BASILICATA 2014-2020 E CON LE PRIORITA’ TRESVERSALI</w:t>
      </w:r>
    </w:p>
    <w:tbl>
      <w:tblPr>
        <w:tblpPr w:leftFromText="141" w:rightFromText="141" w:vertAnchor="text" w:horzAnchor="margin" w:tblpY="111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4089"/>
        <w:gridCol w:w="1440"/>
        <w:gridCol w:w="2954"/>
      </w:tblGrid>
      <w:tr w:rsidR="00D5141A" w:rsidRPr="00F22EC8" w:rsidTr="00B14C8B">
        <w:trPr>
          <w:trHeight w:val="540"/>
          <w:tblHeader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COD. PROGR.</w:t>
            </w:r>
          </w:p>
        </w:tc>
        <w:tc>
          <w:tcPr>
            <w:tcW w:w="4089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1440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SI/NO/NP</w:t>
            </w:r>
          </w:p>
        </w:tc>
        <w:tc>
          <w:tcPr>
            <w:tcW w:w="2954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NOTE</w:t>
            </w: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PO FSE</w:t>
            </w: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coerenza dell’avviso con l’asse del PO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coerenza dell’avviso con l’obiettivo specifico del PO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PRINCIPI ORIZZONTALI</w:t>
            </w: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Pari opportunità e non discriminazione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innovazione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sviluppo sostenibile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diffusione di buone pratiche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5141A" w:rsidRPr="00F22EC8" w:rsidRDefault="00D5141A" w:rsidP="00D5141A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pStyle w:val="Paragrafoelenco"/>
        <w:numPr>
          <w:ilvl w:val="0"/>
          <w:numId w:val="44"/>
        </w:numPr>
        <w:spacing w:line="300" w:lineRule="atLeast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CONFORMITA’ DELLA PROCEDURA D’ATTIVAZIONE  AI PRINCIPI GENERALI E ALLE REGOLE IN MATERIA DI AVVISI DI DIRITTO PUBBLICO (CANCELLARE NEL CASO IN CUI NON SI TRATTI DI AVVISO PUBBLICO)</w:t>
      </w: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3659"/>
        <w:gridCol w:w="1440"/>
        <w:gridCol w:w="2954"/>
      </w:tblGrid>
      <w:tr w:rsidR="00D5141A" w:rsidRPr="00F22EC8" w:rsidTr="00B14C8B">
        <w:trPr>
          <w:trHeight w:val="540"/>
          <w:tblHeader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COD. PROGR.</w:t>
            </w:r>
          </w:p>
        </w:tc>
        <w:tc>
          <w:tcPr>
            <w:tcW w:w="3659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1440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SI/NO/NP</w:t>
            </w:r>
          </w:p>
        </w:tc>
        <w:tc>
          <w:tcPr>
            <w:tcW w:w="2954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NOTE</w:t>
            </w: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REGOLE NAZIONALI E PRINCIPI GENERALI</w:t>
            </w: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Predeterminazione e pubblicazione dei criteri e delle modalità di valutazione per i beneficiari e per i </w:t>
            </w:r>
            <w:r w:rsidRPr="00F22EC8">
              <w:rPr>
                <w:rFonts w:ascii="Tahoma" w:hAnsi="Tahoma" w:cs="Tahoma"/>
                <w:sz w:val="22"/>
                <w:szCs w:val="22"/>
              </w:rPr>
              <w:lastRenderedPageBreak/>
              <w:t>destinatari (art. 12 L. n. 241/1990)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ai principi di libera concorrenza, parità di trattamento, non discriminazione, trasparenza e proporzionalità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ai principi ed alle regole vigenti in materia di avvisi pubblici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REGOLE REGIONALI</w:t>
            </w: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ai criteri di selezione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previsione dei macro criteri di valutazione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indicazione della nomina della commissione di valutazione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previsione di un sistema di valutazione specifico degli interventi e di procedure di monitoraggio e verifica dei risultati raggiunti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previsione dei requisiti oggettivi dei destinatari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pStyle w:val="Paragrafoelenco"/>
        <w:numPr>
          <w:ilvl w:val="0"/>
          <w:numId w:val="44"/>
        </w:numPr>
        <w:spacing w:line="300" w:lineRule="atLeast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CONFORMITA’ DELLA PROCEDURA D’ATTIVAZIONE AI PRINCIPI GENERALI E ALLE REGOLE IN MATERIA DI APPALTI PUBBLICI DI SERVIZI E FORNITURE (CANCELLARE NEL CASO IN CUI NON SI TRATTI DI APPALTO)</w:t>
      </w: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"/>
        <w:gridCol w:w="3638"/>
        <w:gridCol w:w="1436"/>
        <w:gridCol w:w="2919"/>
      </w:tblGrid>
      <w:tr w:rsidR="00D5141A" w:rsidRPr="00F22EC8" w:rsidTr="00B14C8B">
        <w:trPr>
          <w:trHeight w:val="540"/>
          <w:tblHeader/>
        </w:trPr>
        <w:tc>
          <w:tcPr>
            <w:tcW w:w="100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COD. PROGR.</w:t>
            </w:r>
          </w:p>
        </w:tc>
        <w:tc>
          <w:tcPr>
            <w:tcW w:w="3638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1436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SI/NO/NP</w:t>
            </w:r>
          </w:p>
        </w:tc>
        <w:tc>
          <w:tcPr>
            <w:tcW w:w="2919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NOTE</w:t>
            </w: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REGOLE NAZIONALI E PRINCIPI GENERALI</w:t>
            </w: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tipologia di procedura adottata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dell’operazione ai principi generali di cui all’art. 30 D.Lgs. 50/2016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CONFORMITA’ DELL’OPERAZIONE AL  D.LGS.n. 50/2016</w:t>
            </w: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nomina responsabile del procedimento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602A97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indicazione nella determina a contrarre del tipo di procedura - con individuazione dei criteri di selezione degli operatori economici e delle offerte - e degli elementi essenziali del contratto (art. 32, comma 2, del D.Lgs. n. 50/2016)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NEL CASO DI QUALIFICAZIONE DI APPALTO COME CONTRATTO RIENTRANTE NEI REGIMI PARTICOLARI DI APPALTO DI CUI AL TITOLO VI DELLA  PARTE II DEL D.LGS. n. 50/2016</w:t>
            </w: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esplicitazione della motivazione e aderenza della stessa ai casi previsti dalla normativa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conformità della procedura descritta alle regole procedurali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NEL CASO DI PROCEDURA SOTTOSOGLIA</w:t>
            </w: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previsione della modalità di ricorso al Mercato Elettronico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se non è previsto il ricorso al mercato elettronico, adeguata motivazione circa l’impossibilità di ricorrervi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Rispetto dei principi richiamati all’art. 36, comma 1, del D.Lgs. 50/2016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NEL CASO DI PROCEDURA SOTTOSOGLIA ai </w:t>
            </w:r>
            <w:r w:rsidRPr="00F22EC8">
              <w:rPr>
                <w:rFonts w:ascii="Tahoma" w:hAnsi="Tahoma" w:cs="Tahoma"/>
                <w:bCs/>
                <w:sz w:val="22"/>
                <w:szCs w:val="22"/>
              </w:rPr>
              <w:t>sensi dell’art. 1, comma 502, della Legge n. 208/2015 (legge di stabilità 2016)</w:t>
            </w: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bCs/>
                <w:sz w:val="22"/>
                <w:szCs w:val="22"/>
              </w:rPr>
              <w:t>Rispetto della soglia di € 1.000,00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NEL CASO DI DIALOGO COMPETITIVO O PROCEDURE NEGOZIATE</w:t>
            </w: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adeguata motivazione della scelta del tipo di procedura adottato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a casi e regole procedurali minime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PER TUTTE LE TIPOLOGIE DI PROCEDURA</w:t>
            </w: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informazioni complete sull’Amministrazione aggiudicatrice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REGOLE  REGIONALI</w:t>
            </w:r>
          </w:p>
        </w:tc>
      </w:tr>
      <w:tr w:rsidR="00D5141A" w:rsidRPr="00F22EC8" w:rsidTr="00B14C8B">
        <w:trPr>
          <w:trHeight w:val="5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conformità dell’operazione ai criteri di selezione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5141A" w:rsidRPr="00F22EC8" w:rsidRDefault="00D5141A" w:rsidP="00D5141A">
      <w:pPr>
        <w:pStyle w:val="Paragrafoelenco"/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pStyle w:val="Paragrafoelenco"/>
        <w:numPr>
          <w:ilvl w:val="0"/>
          <w:numId w:val="44"/>
        </w:numPr>
        <w:spacing w:line="300" w:lineRule="atLeast"/>
        <w:jc w:val="both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CONFORMITA’ DELLA PROCEDURA D’ATTIVAZIONE AI PRINCIPI GENERALI E ALLE REGOLE IN MATERIA DI AFFIDAMENTI IN HOUSE (CANCELLARE NEL CASO IN CUI NON SI TRATTI DI AFFIDAMENTI IN HOUSE)</w:t>
      </w: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3659"/>
        <w:gridCol w:w="1440"/>
        <w:gridCol w:w="2954"/>
      </w:tblGrid>
      <w:tr w:rsidR="00D5141A" w:rsidRPr="00F22EC8" w:rsidTr="00B14C8B">
        <w:trPr>
          <w:trHeight w:val="540"/>
          <w:tblHeader/>
        </w:trPr>
        <w:tc>
          <w:tcPr>
            <w:tcW w:w="943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COD. PROGR.</w:t>
            </w:r>
          </w:p>
        </w:tc>
        <w:tc>
          <w:tcPr>
            <w:tcW w:w="3659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1440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SI/NO/NP</w:t>
            </w:r>
          </w:p>
        </w:tc>
        <w:tc>
          <w:tcPr>
            <w:tcW w:w="2954" w:type="dxa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NOTE</w:t>
            </w: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REGOLE NAZIONALI E PRINCIPI GENERALI</w:t>
            </w: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motivazione della scelta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coerenza del criterio  di scelta con l’oggetto e le finalità della Procedura d’attivazione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verifica dell’esistenza del controllo analogo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54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verifica della prevalenza dell’attività dell’ente affidatario  a vantaggio dell’ente che esercita il controllo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2437D3" w:rsidRPr="00136815" w:rsidRDefault="002437D3" w:rsidP="00D5141A">
      <w:pPr>
        <w:spacing w:line="300" w:lineRule="atLeast"/>
        <w:jc w:val="center"/>
        <w:rPr>
          <w:rFonts w:eastAsia="Times New Roman"/>
          <w:b/>
        </w:rPr>
      </w:pPr>
    </w:p>
    <w:sectPr w:rsidR="002437D3" w:rsidRPr="00136815" w:rsidSect="00121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25B" w:rsidRDefault="00DF325B" w:rsidP="00DA7E66">
      <w:r>
        <w:separator/>
      </w:r>
    </w:p>
  </w:endnote>
  <w:endnote w:type="continuationSeparator" w:id="0">
    <w:p w:rsidR="00DF325B" w:rsidRDefault="00DF325B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527485"/>
      <w:docPartObj>
        <w:docPartGallery w:val="Page Numbers (Bottom of Page)"/>
        <w:docPartUnique/>
      </w:docPartObj>
    </w:sdtPr>
    <w:sdtEndPr/>
    <w:sdtContent>
      <w:p w:rsidR="007A1AF4" w:rsidRDefault="009B79E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7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25B" w:rsidRDefault="00DF325B" w:rsidP="00DA7E66">
      <w:r>
        <w:separator/>
      </w:r>
    </w:p>
  </w:footnote>
  <w:footnote w:type="continuationSeparator" w:id="0">
    <w:p w:rsidR="00DF325B" w:rsidRDefault="00DF325B" w:rsidP="00DA7E66">
      <w:r>
        <w:continuationSeparator/>
      </w:r>
    </w:p>
  </w:footnote>
  <w:footnote w:id="1">
    <w:p w:rsidR="00D5141A" w:rsidRDefault="00D5141A" w:rsidP="00D5141A">
      <w:pPr>
        <w:pStyle w:val="Testonotaapidipagina"/>
      </w:pPr>
      <w:r>
        <w:rPr>
          <w:rStyle w:val="Rimandonotaapidipagina"/>
        </w:rPr>
        <w:footnoteRef/>
      </w:r>
      <w:r>
        <w:t xml:space="preserve"> Da PO FSE 2014-2020</w:t>
      </w:r>
    </w:p>
  </w:footnote>
  <w:footnote w:id="2">
    <w:p w:rsidR="00D5141A" w:rsidRDefault="00D5141A" w:rsidP="00D5141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Specificare se trattasi di: interventi di formazione; assegnazione contributi/voucher ad individui; </w:t>
      </w:r>
      <w:r w:rsidRPr="004653DC">
        <w:t xml:space="preserve">assegnazione contributi </w:t>
      </w:r>
      <w:r>
        <w:t>a imprese; attivazione di tirocini o work experience; acquisizione di servizi; ecc….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49FD1B3F" wp14:editId="0E0B1336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7C6"/>
    <w:multiLevelType w:val="hybridMultilevel"/>
    <w:tmpl w:val="BAA4CD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9344">
      <w:numFmt w:val="bullet"/>
      <w:lvlText w:val=""/>
      <w:lvlJc w:val="left"/>
      <w:pPr>
        <w:ind w:left="2160" w:hanging="360"/>
      </w:pPr>
      <w:rPr>
        <w:rFonts w:ascii="Symbol" w:eastAsiaTheme="minorEastAsia" w:hAnsi="Symbol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3E10"/>
    <w:multiLevelType w:val="hybridMultilevel"/>
    <w:tmpl w:val="5A42F6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4279D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32AFE"/>
    <w:multiLevelType w:val="hybridMultilevel"/>
    <w:tmpl w:val="2C9CA4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6300E"/>
    <w:multiLevelType w:val="hybridMultilevel"/>
    <w:tmpl w:val="9A285CA6"/>
    <w:lvl w:ilvl="0" w:tplc="A9221B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1D25"/>
    <w:multiLevelType w:val="hybridMultilevel"/>
    <w:tmpl w:val="9146CD4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A0C2237"/>
    <w:multiLevelType w:val="hybridMultilevel"/>
    <w:tmpl w:val="B066D7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E1BE3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85919"/>
    <w:multiLevelType w:val="hybridMultilevel"/>
    <w:tmpl w:val="DE0C2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F5593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B07EC"/>
    <w:multiLevelType w:val="hybridMultilevel"/>
    <w:tmpl w:val="134215A8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014FE"/>
    <w:multiLevelType w:val="hybridMultilevel"/>
    <w:tmpl w:val="3ECEC906"/>
    <w:lvl w:ilvl="0" w:tplc="60F87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2172B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930F4D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F17A0"/>
    <w:multiLevelType w:val="hybridMultilevel"/>
    <w:tmpl w:val="36ACD32A"/>
    <w:lvl w:ilvl="0" w:tplc="6D9EB466">
      <w:numFmt w:val="bullet"/>
      <w:lvlText w:val="-"/>
      <w:lvlJc w:val="left"/>
      <w:pPr>
        <w:ind w:left="2295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5" w15:restartNumberingAfterBreak="0">
    <w:nsid w:val="1C7729AE"/>
    <w:multiLevelType w:val="hybridMultilevel"/>
    <w:tmpl w:val="3B4C3684"/>
    <w:lvl w:ilvl="0" w:tplc="697C1F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1073F7F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72AE4"/>
    <w:multiLevelType w:val="hybridMultilevel"/>
    <w:tmpl w:val="E1EE0D0C"/>
    <w:lvl w:ilvl="0" w:tplc="F7CE5A36">
      <w:start w:val="1"/>
      <w:numFmt w:val="decimal"/>
      <w:lvlText w:val="%1."/>
      <w:lvlJc w:val="left"/>
      <w:pPr>
        <w:ind w:left="786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8B6C60"/>
    <w:multiLevelType w:val="hybridMultilevel"/>
    <w:tmpl w:val="4628E3AA"/>
    <w:lvl w:ilvl="0" w:tplc="AD529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B13FD"/>
    <w:multiLevelType w:val="hybridMultilevel"/>
    <w:tmpl w:val="40B023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2218AC"/>
    <w:multiLevelType w:val="hybridMultilevel"/>
    <w:tmpl w:val="6D247126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22D136B"/>
    <w:multiLevelType w:val="multilevel"/>
    <w:tmpl w:val="F2180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5315F39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F14C6"/>
    <w:multiLevelType w:val="hybridMultilevel"/>
    <w:tmpl w:val="2C9476C2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531AD0"/>
    <w:multiLevelType w:val="hybridMultilevel"/>
    <w:tmpl w:val="86AAAC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C615A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D6BBC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BE3746"/>
    <w:multiLevelType w:val="hybridMultilevel"/>
    <w:tmpl w:val="6D6673CC"/>
    <w:lvl w:ilvl="0" w:tplc="A52046C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E01916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B437B5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4D4846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ED0BE8"/>
    <w:multiLevelType w:val="hybridMultilevel"/>
    <w:tmpl w:val="80B07F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8D2E66"/>
    <w:multiLevelType w:val="hybridMultilevel"/>
    <w:tmpl w:val="CA9A01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1E697E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7D71E00"/>
    <w:multiLevelType w:val="hybridMultilevel"/>
    <w:tmpl w:val="4B9C2014"/>
    <w:lvl w:ilvl="0" w:tplc="C066C3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5A5B2E"/>
    <w:multiLevelType w:val="hybridMultilevel"/>
    <w:tmpl w:val="7ECA8F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778ED"/>
    <w:multiLevelType w:val="multilevel"/>
    <w:tmpl w:val="32D0C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7" w15:restartNumberingAfterBreak="0">
    <w:nsid w:val="66063BB5"/>
    <w:multiLevelType w:val="multilevel"/>
    <w:tmpl w:val="81A64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8" w15:restartNumberingAfterBreak="0">
    <w:nsid w:val="6CD913BA"/>
    <w:multiLevelType w:val="hybridMultilevel"/>
    <w:tmpl w:val="0286339E"/>
    <w:lvl w:ilvl="0" w:tplc="5606934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1134F"/>
    <w:multiLevelType w:val="hybridMultilevel"/>
    <w:tmpl w:val="CB561A20"/>
    <w:lvl w:ilvl="0" w:tplc="2068AA9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B3B4A"/>
    <w:multiLevelType w:val="hybridMultilevel"/>
    <w:tmpl w:val="63785F30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205B78"/>
    <w:multiLevelType w:val="hybridMultilevel"/>
    <w:tmpl w:val="C6F42F58"/>
    <w:lvl w:ilvl="0" w:tplc="864220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7A02C4"/>
    <w:multiLevelType w:val="hybridMultilevel"/>
    <w:tmpl w:val="8EFE3D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CF127F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34"/>
  </w:num>
  <w:num w:numId="4">
    <w:abstractNumId w:val="3"/>
  </w:num>
  <w:num w:numId="5">
    <w:abstractNumId w:val="42"/>
  </w:num>
  <w:num w:numId="6">
    <w:abstractNumId w:val="29"/>
  </w:num>
  <w:num w:numId="7">
    <w:abstractNumId w:val="7"/>
  </w:num>
  <w:num w:numId="8">
    <w:abstractNumId w:val="28"/>
  </w:num>
  <w:num w:numId="9">
    <w:abstractNumId w:val="32"/>
  </w:num>
  <w:num w:numId="10">
    <w:abstractNumId w:val="35"/>
  </w:num>
  <w:num w:numId="11">
    <w:abstractNumId w:val="22"/>
  </w:num>
  <w:num w:numId="12">
    <w:abstractNumId w:val="11"/>
  </w:num>
  <w:num w:numId="13">
    <w:abstractNumId w:val="9"/>
  </w:num>
  <w:num w:numId="14">
    <w:abstractNumId w:val="13"/>
  </w:num>
  <w:num w:numId="15">
    <w:abstractNumId w:val="5"/>
  </w:num>
  <w:num w:numId="16">
    <w:abstractNumId w:val="31"/>
  </w:num>
  <w:num w:numId="17">
    <w:abstractNumId w:val="43"/>
  </w:num>
  <w:num w:numId="18">
    <w:abstractNumId w:val="25"/>
  </w:num>
  <w:num w:numId="19">
    <w:abstractNumId w:val="6"/>
  </w:num>
  <w:num w:numId="20">
    <w:abstractNumId w:val="2"/>
  </w:num>
  <w:num w:numId="21">
    <w:abstractNumId w:val="16"/>
  </w:num>
  <w:num w:numId="22">
    <w:abstractNumId w:val="26"/>
  </w:num>
  <w:num w:numId="23">
    <w:abstractNumId w:val="41"/>
  </w:num>
  <w:num w:numId="24">
    <w:abstractNumId w:val="33"/>
  </w:num>
  <w:num w:numId="25">
    <w:abstractNumId w:val="40"/>
  </w:num>
  <w:num w:numId="26">
    <w:abstractNumId w:val="15"/>
  </w:num>
  <w:num w:numId="27">
    <w:abstractNumId w:val="27"/>
  </w:num>
  <w:num w:numId="28">
    <w:abstractNumId w:val="24"/>
  </w:num>
  <w:num w:numId="29">
    <w:abstractNumId w:val="1"/>
  </w:num>
  <w:num w:numId="30">
    <w:abstractNumId w:val="12"/>
  </w:num>
  <w:num w:numId="31">
    <w:abstractNumId w:val="30"/>
  </w:num>
  <w:num w:numId="32">
    <w:abstractNumId w:val="4"/>
  </w:num>
  <w:num w:numId="33">
    <w:abstractNumId w:val="38"/>
  </w:num>
  <w:num w:numId="34">
    <w:abstractNumId w:val="20"/>
  </w:num>
  <w:num w:numId="35">
    <w:abstractNumId w:val="10"/>
  </w:num>
  <w:num w:numId="36">
    <w:abstractNumId w:val="0"/>
  </w:num>
  <w:num w:numId="37">
    <w:abstractNumId w:val="19"/>
  </w:num>
  <w:num w:numId="38">
    <w:abstractNumId w:val="37"/>
  </w:num>
  <w:num w:numId="39">
    <w:abstractNumId w:val="8"/>
  </w:num>
  <w:num w:numId="40">
    <w:abstractNumId w:val="21"/>
  </w:num>
  <w:num w:numId="41">
    <w:abstractNumId w:val="36"/>
  </w:num>
  <w:num w:numId="42">
    <w:abstractNumId w:val="23"/>
  </w:num>
  <w:num w:numId="43">
    <w:abstractNumId w:val="39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26AD6"/>
    <w:rsid w:val="00052A03"/>
    <w:rsid w:val="00056283"/>
    <w:rsid w:val="0006427E"/>
    <w:rsid w:val="000669F7"/>
    <w:rsid w:val="00076453"/>
    <w:rsid w:val="00080BA8"/>
    <w:rsid w:val="00083113"/>
    <w:rsid w:val="00097AB8"/>
    <w:rsid w:val="000C122F"/>
    <w:rsid w:val="000C469A"/>
    <w:rsid w:val="000D0E01"/>
    <w:rsid w:val="000F081B"/>
    <w:rsid w:val="000F26CE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345DB"/>
    <w:rsid w:val="002437D3"/>
    <w:rsid w:val="00260D1C"/>
    <w:rsid w:val="00261AA7"/>
    <w:rsid w:val="00272119"/>
    <w:rsid w:val="0027686F"/>
    <w:rsid w:val="00277DC3"/>
    <w:rsid w:val="00287A59"/>
    <w:rsid w:val="00290CF6"/>
    <w:rsid w:val="002947E3"/>
    <w:rsid w:val="002A3A9E"/>
    <w:rsid w:val="002B23D0"/>
    <w:rsid w:val="00323464"/>
    <w:rsid w:val="0035777D"/>
    <w:rsid w:val="003A216D"/>
    <w:rsid w:val="003B6234"/>
    <w:rsid w:val="003E73C9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9020E"/>
    <w:rsid w:val="004A6828"/>
    <w:rsid w:val="004A6989"/>
    <w:rsid w:val="004B3471"/>
    <w:rsid w:val="004C7767"/>
    <w:rsid w:val="004E242B"/>
    <w:rsid w:val="004E26DE"/>
    <w:rsid w:val="004E5EDB"/>
    <w:rsid w:val="00505713"/>
    <w:rsid w:val="00513BF3"/>
    <w:rsid w:val="00527A2B"/>
    <w:rsid w:val="0053194C"/>
    <w:rsid w:val="0053201A"/>
    <w:rsid w:val="005434A4"/>
    <w:rsid w:val="00545116"/>
    <w:rsid w:val="00553D53"/>
    <w:rsid w:val="005543B5"/>
    <w:rsid w:val="0055445B"/>
    <w:rsid w:val="005839B4"/>
    <w:rsid w:val="005A1DEA"/>
    <w:rsid w:val="005B6710"/>
    <w:rsid w:val="005B75CD"/>
    <w:rsid w:val="005C23DE"/>
    <w:rsid w:val="005C7262"/>
    <w:rsid w:val="005D4312"/>
    <w:rsid w:val="005E7978"/>
    <w:rsid w:val="006001E0"/>
    <w:rsid w:val="00601D4D"/>
    <w:rsid w:val="00602A97"/>
    <w:rsid w:val="006055C1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F101D"/>
    <w:rsid w:val="006F3230"/>
    <w:rsid w:val="006F7A15"/>
    <w:rsid w:val="00710746"/>
    <w:rsid w:val="00740309"/>
    <w:rsid w:val="00741874"/>
    <w:rsid w:val="00755E87"/>
    <w:rsid w:val="007612F5"/>
    <w:rsid w:val="007625D8"/>
    <w:rsid w:val="00763419"/>
    <w:rsid w:val="00765010"/>
    <w:rsid w:val="007660FE"/>
    <w:rsid w:val="0077335A"/>
    <w:rsid w:val="00797279"/>
    <w:rsid w:val="007A1AF4"/>
    <w:rsid w:val="007A289D"/>
    <w:rsid w:val="007B79E1"/>
    <w:rsid w:val="007D137A"/>
    <w:rsid w:val="007D3C7E"/>
    <w:rsid w:val="007D7762"/>
    <w:rsid w:val="00800954"/>
    <w:rsid w:val="00816ACF"/>
    <w:rsid w:val="0082582D"/>
    <w:rsid w:val="00836947"/>
    <w:rsid w:val="00854266"/>
    <w:rsid w:val="008608E0"/>
    <w:rsid w:val="00874BAB"/>
    <w:rsid w:val="00880B94"/>
    <w:rsid w:val="00892AA7"/>
    <w:rsid w:val="0089419E"/>
    <w:rsid w:val="008C1A55"/>
    <w:rsid w:val="008C1F3D"/>
    <w:rsid w:val="008D1FFE"/>
    <w:rsid w:val="008E36CA"/>
    <w:rsid w:val="008F3086"/>
    <w:rsid w:val="008F5B41"/>
    <w:rsid w:val="008F6BB4"/>
    <w:rsid w:val="00910436"/>
    <w:rsid w:val="00911CFD"/>
    <w:rsid w:val="00916530"/>
    <w:rsid w:val="00936D5F"/>
    <w:rsid w:val="00963A6F"/>
    <w:rsid w:val="00977130"/>
    <w:rsid w:val="00982BAA"/>
    <w:rsid w:val="0099150A"/>
    <w:rsid w:val="009B79E3"/>
    <w:rsid w:val="009C0148"/>
    <w:rsid w:val="009C05C4"/>
    <w:rsid w:val="009D7CC6"/>
    <w:rsid w:val="00A100BF"/>
    <w:rsid w:val="00A20886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F03E1"/>
    <w:rsid w:val="00B03633"/>
    <w:rsid w:val="00B07B9E"/>
    <w:rsid w:val="00B2531E"/>
    <w:rsid w:val="00B268DE"/>
    <w:rsid w:val="00B30498"/>
    <w:rsid w:val="00B40637"/>
    <w:rsid w:val="00B4352A"/>
    <w:rsid w:val="00B44E44"/>
    <w:rsid w:val="00B45FEC"/>
    <w:rsid w:val="00B52B0D"/>
    <w:rsid w:val="00B61E6F"/>
    <w:rsid w:val="00B708AF"/>
    <w:rsid w:val="00BA3E72"/>
    <w:rsid w:val="00BB6C15"/>
    <w:rsid w:val="00BC4BA8"/>
    <w:rsid w:val="00BD50F2"/>
    <w:rsid w:val="00BD6313"/>
    <w:rsid w:val="00BE3329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6C65"/>
    <w:rsid w:val="00D010D8"/>
    <w:rsid w:val="00D061ED"/>
    <w:rsid w:val="00D12048"/>
    <w:rsid w:val="00D25F30"/>
    <w:rsid w:val="00D31C26"/>
    <w:rsid w:val="00D5141A"/>
    <w:rsid w:val="00D662C0"/>
    <w:rsid w:val="00D95520"/>
    <w:rsid w:val="00DA3EC5"/>
    <w:rsid w:val="00DA7E66"/>
    <w:rsid w:val="00DD1CE8"/>
    <w:rsid w:val="00DD678B"/>
    <w:rsid w:val="00DF0B3B"/>
    <w:rsid w:val="00DF325B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27C7"/>
    <w:rsid w:val="00F254A4"/>
    <w:rsid w:val="00F315D0"/>
    <w:rsid w:val="00F337B2"/>
    <w:rsid w:val="00F44FC3"/>
    <w:rsid w:val="00F647D7"/>
    <w:rsid w:val="00F712E1"/>
    <w:rsid w:val="00F868E5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E6FF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styleId="Rimandonotaapidipagina">
    <w:name w:val="footnote reference"/>
    <w:aliases w:val="Footnote symbol,Rimando nota a piè di pagina1,Voetnootverwijzing,footnote sign,Rimando nota a piè di pagina-IMONT"/>
    <w:basedOn w:val="Carpredefinitoparagrafo"/>
    <w:uiPriority w:val="99"/>
    <w:unhideWhenUsed/>
    <w:rsid w:val="002721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2018-02-28T17:00:00Z</dcterms:created>
  <dcterms:modified xsi:type="dcterms:W3CDTF">2018-07-02T10:48:00Z</dcterms:modified>
</cp:coreProperties>
</file>