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7C8" w:rsidRPr="00136815" w:rsidRDefault="005A1DEA" w:rsidP="00136815">
      <w:pPr>
        <w:spacing w:line="24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MANUALE DELLE PROCEDURE ADG – ALLEGATO 1</w:t>
      </w:r>
      <w:r w:rsidR="0035777D">
        <w:rPr>
          <w:rFonts w:ascii="Times New Roman" w:hAnsi="Times New Roman" w:cs="Times New Roman"/>
          <w:b/>
          <w:sz w:val="22"/>
          <w:szCs w:val="22"/>
        </w:rPr>
        <w:t>3</w:t>
      </w:r>
      <w:r>
        <w:rPr>
          <w:rFonts w:ascii="Times New Roman" w:hAnsi="Times New Roman" w:cs="Times New Roman"/>
          <w:b/>
          <w:sz w:val="22"/>
          <w:szCs w:val="22"/>
        </w:rPr>
        <w:t xml:space="preserve">.5 </w:t>
      </w:r>
    </w:p>
    <w:p w:rsidR="003A216D" w:rsidRDefault="003A216D" w:rsidP="00D5141A">
      <w:pPr>
        <w:spacing w:line="300" w:lineRule="atLeast"/>
        <w:jc w:val="center"/>
        <w:rPr>
          <w:rFonts w:ascii="Tahoma" w:hAnsi="Tahoma" w:cs="Tahoma"/>
          <w:sz w:val="22"/>
          <w:szCs w:val="22"/>
        </w:rPr>
      </w:pPr>
    </w:p>
    <w:p w:rsidR="003A216D" w:rsidRDefault="003A216D" w:rsidP="00D5141A">
      <w:pPr>
        <w:spacing w:line="300" w:lineRule="atLeast"/>
        <w:jc w:val="center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jc w:val="center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SCHEDA IDENTIFICATIVA:</w:t>
      </w: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tbl>
      <w:tblPr>
        <w:tblW w:w="9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3402"/>
        <w:gridCol w:w="6543"/>
      </w:tblGrid>
      <w:tr w:rsidR="00D5141A" w:rsidRPr="00F22EC8" w:rsidTr="00B14C8B">
        <w:trPr>
          <w:trHeight w:val="320"/>
          <w:tblHeader/>
        </w:trPr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eastAsia="Times New Roman" w:hAnsi="Tahoma" w:cs="Tahoma"/>
                <w:b/>
                <w:bCs/>
                <w:sz w:val="22"/>
                <w:szCs w:val="22"/>
              </w:rPr>
            </w:pPr>
            <w:r w:rsidRPr="00F22EC8">
              <w:rPr>
                <w:rFonts w:ascii="Tahoma" w:eastAsia="Times New Roman" w:hAnsi="Tahoma" w:cs="Tahoma"/>
                <w:b/>
                <w:bCs/>
                <w:sz w:val="22"/>
                <w:szCs w:val="22"/>
              </w:rPr>
              <w:t xml:space="preserve">INFORMAZIONE RICHIESTA </w:t>
            </w:r>
          </w:p>
        </w:tc>
        <w:tc>
          <w:tcPr>
            <w:tcW w:w="65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eastAsia="Times New Roman" w:hAnsi="Tahoma" w:cs="Tahoma"/>
                <w:b/>
                <w:bCs/>
                <w:sz w:val="22"/>
                <w:szCs w:val="22"/>
              </w:rPr>
            </w:pPr>
            <w:r w:rsidRPr="00F22EC8">
              <w:rPr>
                <w:rFonts w:ascii="Tahoma" w:eastAsia="Times New Roman" w:hAnsi="Tahoma" w:cs="Tahoma"/>
                <w:b/>
                <w:bCs/>
                <w:sz w:val="22"/>
                <w:szCs w:val="22"/>
              </w:rPr>
              <w:t xml:space="preserve">RISPOSTA </w:t>
            </w:r>
          </w:p>
        </w:tc>
      </w:tr>
      <w:tr w:rsidR="00D5141A" w:rsidRPr="00F22EC8" w:rsidTr="00B14C8B">
        <w:trPr>
          <w:trHeight w:val="32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Condivisione con il Partenariato </w:t>
            </w:r>
          </w:p>
        </w:tc>
        <w:tc>
          <w:tcPr>
            <w:tcW w:w="6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SI </w:t>
            </w:r>
            <w:r w:rsidR="00CF6AD6">
              <w:rPr>
                <w:rStyle w:val="Rimandonotaapidipagina"/>
                <w:rFonts w:ascii="Tahoma" w:hAnsi="Tahoma" w:cs="Tahoma"/>
                <w:sz w:val="22"/>
                <w:szCs w:val="22"/>
              </w:rPr>
              <w:footnoteReference w:id="1"/>
            </w:r>
            <w:r w:rsidRPr="00F22EC8">
              <w:rPr>
                <w:rFonts w:ascii="Tahoma" w:hAnsi="Tahoma" w:cs="Tahoma"/>
                <w:sz w:val="22"/>
                <w:szCs w:val="22"/>
              </w:rPr>
              <w:t xml:space="preserve">                             NO </w:t>
            </w:r>
            <w:r w:rsidR="00CF6AD6">
              <w:rPr>
                <w:rStyle w:val="Rimandonotaapidipagina"/>
                <w:rFonts w:ascii="Tahoma" w:hAnsi="Tahoma" w:cs="Tahoma"/>
                <w:sz w:val="22"/>
                <w:szCs w:val="22"/>
              </w:rPr>
              <w:footnoteReference w:id="2"/>
            </w:r>
          </w:p>
        </w:tc>
      </w:tr>
      <w:tr w:rsidR="00D5141A" w:rsidRPr="00F22EC8" w:rsidTr="00B14C8B">
        <w:trPr>
          <w:trHeight w:val="32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Tipologia di procedura che si intende attivare </w:t>
            </w:r>
          </w:p>
        </w:tc>
        <w:tc>
          <w:tcPr>
            <w:tcW w:w="6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 AVVISO PUBBLICO/APPALTO</w:t>
            </w:r>
          </w:p>
        </w:tc>
      </w:tr>
      <w:tr w:rsidR="002414DF" w:rsidRPr="00F22EC8" w:rsidTr="00B14C8B">
        <w:trPr>
          <w:trHeight w:val="32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14DF" w:rsidRPr="00F22EC8" w:rsidRDefault="002414DF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Procedura ricadente negli Aiuti di stato</w:t>
            </w:r>
          </w:p>
        </w:tc>
        <w:tc>
          <w:tcPr>
            <w:tcW w:w="6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14DF" w:rsidRPr="00F22EC8" w:rsidRDefault="002414DF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2414DF">
              <w:rPr>
                <w:rFonts w:ascii="Tahoma" w:hAnsi="Tahoma" w:cs="Tahoma"/>
                <w:sz w:val="22"/>
                <w:szCs w:val="22"/>
              </w:rPr>
              <w:t>SI                              NO</w:t>
            </w:r>
          </w:p>
        </w:tc>
      </w:tr>
      <w:tr w:rsidR="002414DF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CF6AD6" w:rsidRDefault="002414DF" w:rsidP="00CF6AD6">
            <w:pPr>
              <w:spacing w:line="300" w:lineRule="atLeast"/>
              <w:jc w:val="both"/>
            </w:pPr>
            <w:r>
              <w:rPr>
                <w:rFonts w:ascii="Tahoma" w:hAnsi="Tahoma" w:cs="Tahoma"/>
                <w:sz w:val="22"/>
                <w:szCs w:val="22"/>
              </w:rPr>
              <w:t>(In caso di risposta positiva al precedente item)</w:t>
            </w:r>
            <w:r w:rsidR="00CF6AD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DE5BDB">
              <w:rPr>
                <w:rFonts w:ascii="Tahoma" w:hAnsi="Tahoma" w:cs="Tahoma"/>
                <w:sz w:val="22"/>
                <w:szCs w:val="22"/>
              </w:rPr>
              <w:t xml:space="preserve">E’ presente la scheda </w:t>
            </w:r>
            <w:r w:rsidR="00CF6AD6" w:rsidRPr="00CF6AD6">
              <w:rPr>
                <w:rFonts w:ascii="Tahoma" w:hAnsi="Tahoma" w:cs="Tahoma"/>
                <w:sz w:val="22"/>
                <w:szCs w:val="22"/>
              </w:rPr>
              <w:t>per la verifica dei requisiti di cui all'art. 107, paragrafo 1, del Trattato sul funzionamento dell'unione europea</w:t>
            </w:r>
            <w:r w:rsidRPr="00CF6AD6">
              <w:rPr>
                <w:rFonts w:ascii="Tahoma" w:hAnsi="Tahoma" w:cs="Tahoma"/>
                <w:sz w:val="22"/>
                <w:szCs w:val="22"/>
              </w:rPr>
              <w:t xml:space="preserve"> (2016/C 262/01) </w:t>
            </w:r>
            <w:r w:rsidR="00CF6AD6" w:rsidRPr="00CF6AD6">
              <w:rPr>
                <w:rFonts w:ascii="Tahoma" w:hAnsi="Tahoma" w:cs="Tahoma"/>
                <w:sz w:val="22"/>
                <w:szCs w:val="22"/>
              </w:rPr>
              <w:t xml:space="preserve"> di cui alla</w:t>
            </w:r>
            <w:r w:rsidR="00CF6AD6">
              <w:t xml:space="preserve"> D.G.R. 1248 del 30/11/2018?</w:t>
            </w:r>
            <w:r w:rsidR="00CF6AD6">
              <w:rPr>
                <w:rStyle w:val="Rimandonotaapidipagina"/>
              </w:rPr>
              <w:footnoteReference w:id="3"/>
            </w:r>
          </w:p>
          <w:p w:rsidR="002414DF" w:rsidRPr="00F22EC8" w:rsidRDefault="002414DF" w:rsidP="00DE5BD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543" w:type="dxa"/>
            <w:vAlign w:val="center"/>
          </w:tcPr>
          <w:p w:rsidR="002414DF" w:rsidRPr="00F22EC8" w:rsidRDefault="00CF6AD6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2414DF">
              <w:rPr>
                <w:rFonts w:ascii="Tahoma" w:hAnsi="Tahoma" w:cs="Tahoma"/>
                <w:sz w:val="22"/>
                <w:szCs w:val="22"/>
              </w:rPr>
              <w:t xml:space="preserve">SI </w:t>
            </w:r>
            <w:r>
              <w:rPr>
                <w:rStyle w:val="Rimandonotaapidipagina"/>
                <w:rFonts w:ascii="Tahoma" w:hAnsi="Tahoma" w:cs="Tahoma"/>
                <w:sz w:val="22"/>
                <w:szCs w:val="22"/>
              </w:rPr>
              <w:footnoteReference w:id="4"/>
            </w:r>
            <w:r w:rsidRPr="002414DF">
              <w:rPr>
                <w:rFonts w:ascii="Tahoma" w:hAnsi="Tahoma" w:cs="Tahoma"/>
                <w:sz w:val="22"/>
                <w:szCs w:val="22"/>
              </w:rPr>
              <w:t xml:space="preserve">                             NO</w:t>
            </w:r>
            <w:r>
              <w:rPr>
                <w:rStyle w:val="Rimandonotaapidipagina"/>
                <w:rFonts w:ascii="Tahoma" w:hAnsi="Tahoma" w:cs="Tahoma"/>
                <w:sz w:val="22"/>
                <w:szCs w:val="22"/>
              </w:rPr>
              <w:footnoteReference w:id="5"/>
            </w: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Denominazione  della Procedura d’attivazione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trHeight w:val="360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ASSE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Obiettivo specifico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Tipologia d’azione</w:t>
            </w:r>
            <w:r w:rsidRPr="00F22EC8">
              <w:rPr>
                <w:rStyle w:val="Rimandonotaapidipagina"/>
                <w:rFonts w:ascii="Tahoma" w:hAnsi="Tahoma" w:cs="Tahoma"/>
                <w:sz w:val="22"/>
                <w:szCs w:val="22"/>
              </w:rPr>
              <w:footnoteReference w:id="6"/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Tipologia di operazione</w:t>
            </w:r>
            <w:r w:rsidRPr="00F22EC8">
              <w:rPr>
                <w:rStyle w:val="Rimandonotaapidipagina"/>
                <w:rFonts w:ascii="Tahoma" w:hAnsi="Tahoma" w:cs="Tahoma"/>
                <w:sz w:val="22"/>
                <w:szCs w:val="22"/>
              </w:rPr>
              <w:footnoteReference w:id="7"/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U.C.O.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Importo destinato all’Avviso /importo complessivo a base di gara (IVA esclusa)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lastRenderedPageBreak/>
              <w:t>Eventuale importo destinato al finanziamento di azioni che rientrano nel campo di intervento FESR ( art. 98 del Reg. (UE) n. 1303/2013 – principio di complementarietà)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Descrizione della procedura d’attivazione contenente indicazione degli obiettivi generali/finalità dell’Avviso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Beneficiari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Eventuale importo massimo per singola operazione finanziabile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Principali categorie di destinatari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Indicatore </w:t>
            </w:r>
            <w:r w:rsidR="0083288A">
              <w:rPr>
                <w:rFonts w:ascii="Tahoma" w:hAnsi="Tahoma" w:cs="Tahoma"/>
                <w:sz w:val="22"/>
                <w:szCs w:val="22"/>
              </w:rPr>
              <w:t xml:space="preserve">di output </w:t>
            </w:r>
            <w:r w:rsidRPr="00F22EC8">
              <w:rPr>
                <w:rFonts w:ascii="Tahoma" w:hAnsi="Tahoma" w:cs="Tahoma"/>
                <w:sz w:val="22"/>
                <w:szCs w:val="22"/>
              </w:rPr>
              <w:t>che si prevede di valorizzare</w:t>
            </w:r>
            <w:r w:rsidR="0083288A">
              <w:rPr>
                <w:rStyle w:val="Rimandonotaapidipagina"/>
                <w:rFonts w:ascii="Tahoma" w:hAnsi="Tahoma" w:cs="Tahoma"/>
                <w:sz w:val="22"/>
                <w:szCs w:val="22"/>
              </w:rPr>
              <w:footnoteReference w:id="8"/>
            </w:r>
            <w:r w:rsidRPr="00F22EC8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Numero di destinatari (sulla base dell’indicatore su identificato) che si prevede di intercettare 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rPr>
          <w:trHeight w:val="32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Importo per destinatario ipotizzato </w:t>
            </w:r>
          </w:p>
        </w:tc>
        <w:tc>
          <w:tcPr>
            <w:tcW w:w="6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D5141A" w:rsidRPr="00F22EC8" w:rsidTr="00B14C8B">
        <w:trPr>
          <w:trHeight w:val="480"/>
        </w:trPr>
        <w:tc>
          <w:tcPr>
            <w:tcW w:w="341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Modalità di calcolo del numero di destinatari e dell’importo per destinatario ipotizzato </w:t>
            </w:r>
          </w:p>
        </w:tc>
        <w:tc>
          <w:tcPr>
            <w:tcW w:w="6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modalità e tempi di presentazione delle candidature/proposte progettuali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Durata massima prevista per la procedura d’attivazione  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5141A" w:rsidRPr="00F22EC8" w:rsidTr="00B14C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cantSplit/>
          <w:trHeight w:val="368"/>
        </w:trPr>
        <w:tc>
          <w:tcPr>
            <w:tcW w:w="3402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Durata massima, se prevista, per la singola operazione finanziabile  </w:t>
            </w:r>
          </w:p>
        </w:tc>
        <w:tc>
          <w:tcPr>
            <w:tcW w:w="6543" w:type="dxa"/>
            <w:vAlign w:val="center"/>
          </w:tcPr>
          <w:p w:rsidR="00D5141A" w:rsidRPr="00F22EC8" w:rsidRDefault="00D5141A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60A59" w:rsidRDefault="00D60A59">
      <w:pPr>
        <w:spacing w:after="160" w:line="259" w:lineRule="auto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br w:type="page"/>
      </w:r>
    </w:p>
    <w:p w:rsidR="00D5141A" w:rsidRPr="00F22EC8" w:rsidRDefault="00D5141A" w:rsidP="00D5141A">
      <w:pPr>
        <w:spacing w:line="300" w:lineRule="atLeast"/>
        <w:jc w:val="both"/>
        <w:rPr>
          <w:rFonts w:ascii="Tahoma" w:hAnsi="Tahoma" w:cs="Tahoma"/>
          <w:bCs/>
          <w:sz w:val="22"/>
          <w:szCs w:val="22"/>
        </w:rPr>
      </w:pPr>
      <w:r w:rsidRPr="00F22EC8">
        <w:rPr>
          <w:rFonts w:ascii="Tahoma" w:hAnsi="Tahoma" w:cs="Tahoma"/>
          <w:bCs/>
          <w:sz w:val="22"/>
          <w:szCs w:val="22"/>
        </w:rPr>
        <w:lastRenderedPageBreak/>
        <w:t>Per rilasciare il parere l’AdG si avvale della seguente check list:</w:t>
      </w:r>
    </w:p>
    <w:p w:rsidR="00D5141A" w:rsidRPr="00F22EC8" w:rsidRDefault="00D5141A" w:rsidP="00D5141A">
      <w:pPr>
        <w:spacing w:line="300" w:lineRule="atLeast"/>
        <w:jc w:val="both"/>
        <w:rPr>
          <w:rFonts w:ascii="Tahoma" w:hAnsi="Tahoma" w:cs="Tahoma"/>
          <w:bCs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jc w:val="center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PARERE DI CONFORMITA’</w:t>
      </w:r>
    </w:p>
    <w:p w:rsidR="00D5141A" w:rsidRPr="00F22EC8" w:rsidRDefault="00D5141A" w:rsidP="00D5141A">
      <w:pPr>
        <w:spacing w:line="300" w:lineRule="atLeast"/>
        <w:jc w:val="center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art. 125 paragrafo 3 lett. b) Reg. (UE) n. 1303/2013</w:t>
      </w: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pStyle w:val="Paragrafoelenco"/>
        <w:numPr>
          <w:ilvl w:val="0"/>
          <w:numId w:val="44"/>
        </w:numPr>
        <w:spacing w:line="300" w:lineRule="atLeast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CONFORMITA’ DELLA PROCEDURA D’ATTIVAZIONE ALLE REGOLE COMUNITARIE E NAZIONALI IN MATERIA DI SPESE AMMISSIBILI AL COFINANZIAMENTO DEL FSE</w:t>
      </w:r>
    </w:p>
    <w:p w:rsidR="00D5141A" w:rsidRPr="00F22EC8" w:rsidRDefault="00D5141A" w:rsidP="00D5141A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4"/>
        <w:gridCol w:w="1136"/>
        <w:gridCol w:w="3353"/>
      </w:tblGrid>
      <w:tr w:rsidR="00D60A59" w:rsidRPr="00F22EC8" w:rsidTr="00D60A59">
        <w:trPr>
          <w:trHeight w:val="540"/>
          <w:tblHeader/>
        </w:trPr>
        <w:tc>
          <w:tcPr>
            <w:tcW w:w="403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1136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SI/NO/NP</w:t>
            </w:r>
          </w:p>
        </w:tc>
        <w:tc>
          <w:tcPr>
            <w:tcW w:w="3353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</w:tr>
      <w:tr w:rsidR="00D60A59" w:rsidRPr="00F22EC8" w:rsidTr="00D60A59">
        <w:trPr>
          <w:trHeight w:val="540"/>
        </w:trPr>
        <w:tc>
          <w:tcPr>
            <w:tcW w:w="8523" w:type="dxa"/>
            <w:gridSpan w:val="3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REGOLAMENTI COMUNITARI</w:t>
            </w:r>
          </w:p>
        </w:tc>
      </w:tr>
      <w:tr w:rsidR="00D60A59" w:rsidRPr="00F22EC8" w:rsidTr="00D60A59">
        <w:trPr>
          <w:trHeight w:val="540"/>
        </w:trPr>
        <w:tc>
          <w:tcPr>
            <w:tcW w:w="403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al Reg. (UE) n. 1303/2013 ed in particolare alle disposizioni sull’ammissibilità della spesa (art. 65 e ss)</w:t>
            </w:r>
          </w:p>
        </w:tc>
        <w:tc>
          <w:tcPr>
            <w:tcW w:w="1136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403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al Reg. (UE) n. 1304/2013 ed in particolare alle disposizioni sull’ammissibilità della spesa (art. 13 e ss)</w:t>
            </w:r>
          </w:p>
        </w:tc>
        <w:tc>
          <w:tcPr>
            <w:tcW w:w="1136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403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Rispetto adempimenti pubblicitari e presenza loghi</w:t>
            </w:r>
          </w:p>
        </w:tc>
        <w:tc>
          <w:tcPr>
            <w:tcW w:w="1136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403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alla normativa relativa agli Aiuti di Stato</w:t>
            </w:r>
          </w:p>
        </w:tc>
        <w:tc>
          <w:tcPr>
            <w:tcW w:w="1136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8523" w:type="dxa"/>
            <w:gridSpan w:val="3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DISPOSIZIONI NAZIONALI </w:t>
            </w:r>
          </w:p>
        </w:tc>
      </w:tr>
      <w:tr w:rsidR="00D60A59" w:rsidRPr="00F22EC8" w:rsidTr="00D60A59">
        <w:trPr>
          <w:trHeight w:val="540"/>
        </w:trPr>
        <w:tc>
          <w:tcPr>
            <w:tcW w:w="403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alla normativa nazionale emanata in materia di ammissibilità della spesa</w:t>
            </w:r>
          </w:p>
        </w:tc>
        <w:tc>
          <w:tcPr>
            <w:tcW w:w="1136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403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al vademecum per l’ammissibilità della spesa</w:t>
            </w:r>
          </w:p>
        </w:tc>
        <w:tc>
          <w:tcPr>
            <w:tcW w:w="1136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8523" w:type="dxa"/>
            <w:gridSpan w:val="3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DISPOSIZIONI REGIONALI</w:t>
            </w:r>
          </w:p>
        </w:tc>
      </w:tr>
      <w:tr w:rsidR="00D60A59" w:rsidRPr="00F22EC8" w:rsidTr="00D60A59">
        <w:trPr>
          <w:trHeight w:val="540"/>
        </w:trPr>
        <w:tc>
          <w:tcPr>
            <w:tcW w:w="403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conformità della Procedura d’attivazione al Sistema di gestione e controllo del Po FSE Basilicata </w:t>
            </w:r>
          </w:p>
        </w:tc>
        <w:tc>
          <w:tcPr>
            <w:tcW w:w="1136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53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pStyle w:val="Paragrafoelenco"/>
        <w:numPr>
          <w:ilvl w:val="0"/>
          <w:numId w:val="44"/>
        </w:numPr>
        <w:spacing w:line="300" w:lineRule="atLeast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COERENZA DELLA PROCEDURA D’ATTIVAZIONE CON IL P.O. FSE BASILICATA 2014-2020 E CON LE PRIORITA’ TRESVERSALI</w:t>
      </w:r>
    </w:p>
    <w:tbl>
      <w:tblPr>
        <w:tblpPr w:leftFromText="141" w:rightFromText="141" w:vertAnchor="text" w:horzAnchor="margin" w:tblpY="111"/>
        <w:tblW w:w="8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9"/>
        <w:gridCol w:w="1440"/>
        <w:gridCol w:w="2954"/>
      </w:tblGrid>
      <w:tr w:rsidR="00D60A59" w:rsidRPr="00F22EC8" w:rsidTr="00D60A59">
        <w:trPr>
          <w:trHeight w:val="540"/>
          <w:tblHeader/>
        </w:trPr>
        <w:tc>
          <w:tcPr>
            <w:tcW w:w="4089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lastRenderedPageBreak/>
              <w:t>DESCRIZIONE</w:t>
            </w:r>
          </w:p>
        </w:tc>
        <w:tc>
          <w:tcPr>
            <w:tcW w:w="1440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SI/NO/NP</w:t>
            </w:r>
          </w:p>
        </w:tc>
        <w:tc>
          <w:tcPr>
            <w:tcW w:w="295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</w:tr>
      <w:tr w:rsidR="00D60A59" w:rsidRPr="00F22EC8" w:rsidTr="00D60A59">
        <w:trPr>
          <w:trHeight w:val="540"/>
        </w:trPr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PO FSE</w:t>
            </w:r>
          </w:p>
        </w:tc>
      </w:tr>
      <w:tr w:rsidR="00D60A59" w:rsidRPr="00F22EC8" w:rsidTr="00D60A59">
        <w:trPr>
          <w:trHeight w:val="540"/>
        </w:trPr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coerenza dell’avviso con l’asse del PO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coerenza dell’avviso con l’obiettivo specifico del PO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8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PRINCIPI ORIZZONTALI</w:t>
            </w:r>
          </w:p>
        </w:tc>
      </w:tr>
      <w:tr w:rsidR="00D60A59" w:rsidRPr="00F22EC8" w:rsidTr="00D60A59">
        <w:trPr>
          <w:trHeight w:val="540"/>
        </w:trPr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Pari opportunità e non discriminazione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innovazione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sviluppo sostenibile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diffusione di buone pratiche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5141A" w:rsidRPr="00F22EC8" w:rsidRDefault="00D5141A" w:rsidP="00D5141A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Pr="00D60A59" w:rsidRDefault="00D60A59" w:rsidP="00D60A59">
      <w:pPr>
        <w:spacing w:line="300" w:lineRule="atLeast"/>
        <w:ind w:left="360"/>
        <w:rPr>
          <w:rFonts w:ascii="Tahoma" w:hAnsi="Tahoma" w:cs="Tahoma"/>
          <w:sz w:val="22"/>
          <w:szCs w:val="22"/>
        </w:rPr>
      </w:pPr>
    </w:p>
    <w:p w:rsidR="00D60A59" w:rsidRDefault="00D60A59" w:rsidP="00D60A59">
      <w:pPr>
        <w:pStyle w:val="Paragrafoelenco"/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60A59">
      <w:pPr>
        <w:pStyle w:val="Paragrafoelenco"/>
        <w:numPr>
          <w:ilvl w:val="0"/>
          <w:numId w:val="44"/>
        </w:numPr>
        <w:spacing w:line="300" w:lineRule="atLeast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CONFORMITA’ DELLA PROCEDURA D’ATTIVAZIONE AI PRINCIPI GENERALI E ALLE REGOLE IN MATERIA DI AVVISI DI DIRITTO PUBBLICO (CANCELLARE NEL CASO IN CUI NON SI TRATTI DI AVVISO PUBBLICO)</w:t>
      </w: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tbl>
      <w:tblPr>
        <w:tblW w:w="8053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1440"/>
        <w:gridCol w:w="2954"/>
      </w:tblGrid>
      <w:tr w:rsidR="00D60A59" w:rsidRPr="00F22EC8" w:rsidTr="00D60A59">
        <w:trPr>
          <w:trHeight w:val="540"/>
          <w:tblHeader/>
        </w:trPr>
        <w:tc>
          <w:tcPr>
            <w:tcW w:w="3659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1440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SI/NO/NP</w:t>
            </w:r>
          </w:p>
        </w:tc>
        <w:tc>
          <w:tcPr>
            <w:tcW w:w="295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</w:tr>
      <w:tr w:rsidR="00D60A59" w:rsidRPr="00F22EC8" w:rsidTr="00D60A59">
        <w:trPr>
          <w:trHeight w:val="540"/>
        </w:trPr>
        <w:tc>
          <w:tcPr>
            <w:tcW w:w="8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REGOLE NAZIONALI E PRINCIPI GENERALI</w:t>
            </w: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Predeterminazione e pubblicazione dei criteri e delle modalità di valutazione per i beneficiari e per i destinatari (art. 12 L. n. 241/1990)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ai principi di libera concorrenza, parità di trattamento, non discriminazione, trasparenza e proporzionalità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ai principi ed alle regole vigenti in materia di avvisi pubblici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8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REGOLE REGIONALI</w:t>
            </w: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d’attivazione ai criteri di selezione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previsione dei macro criteri di </w:t>
            </w:r>
            <w:r w:rsidRPr="00F22EC8">
              <w:rPr>
                <w:rFonts w:ascii="Tahoma" w:hAnsi="Tahoma" w:cs="Tahoma"/>
                <w:sz w:val="22"/>
                <w:szCs w:val="22"/>
              </w:rPr>
              <w:lastRenderedPageBreak/>
              <w:t>valutazione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lastRenderedPageBreak/>
              <w:t>indicazione della nomina della commissione di valutazione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previsione di un sistema di valutazione specifico degli interventi e di procedure di monitoraggio e verifica dei risultati raggiunti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previsione dei requisiti oggettivi dei destinatari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60A59">
      <w:pPr>
        <w:pStyle w:val="Paragrafoelenco"/>
        <w:numPr>
          <w:ilvl w:val="0"/>
          <w:numId w:val="44"/>
        </w:numPr>
        <w:spacing w:line="300" w:lineRule="atLeast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CONFORMITA’ DELLA PROCEDURA D’ATTIVAZIONE AI PRINCIPI GENERALI E ALLE REGOLE IN MATERIA DI APPALTI PUBBLICI DI SERVIZI E FORNITURE (CANCELLARE NEL CASO IN CUI NON SI TRATTI DI APPALTO)</w:t>
      </w: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tbl>
      <w:tblPr>
        <w:tblW w:w="7993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1436"/>
        <w:gridCol w:w="2919"/>
      </w:tblGrid>
      <w:tr w:rsidR="00D60A59" w:rsidRPr="00F22EC8" w:rsidTr="00D60A59">
        <w:trPr>
          <w:trHeight w:val="540"/>
          <w:tblHeader/>
        </w:trPr>
        <w:tc>
          <w:tcPr>
            <w:tcW w:w="3638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1436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SI/NO/NP</w:t>
            </w:r>
          </w:p>
        </w:tc>
        <w:tc>
          <w:tcPr>
            <w:tcW w:w="2919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</w:tr>
      <w:tr w:rsidR="00D60A59" w:rsidRPr="00F22EC8" w:rsidTr="00D60A59">
        <w:trPr>
          <w:trHeight w:val="540"/>
        </w:trPr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REGOLE NAZIONALI E PRINCIPI GENERALI</w:t>
            </w: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tipologia di procedura adottata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dell’operazione ai principi generali di cui all’art. 30 D.Lgs. 50/2016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CONFORMITA’ DELL’OPERAZIONE AL  D.LGS.n. 50/2016</w:t>
            </w: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nomina responsabile del procedimento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602A97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indicazione nella determina a contrarre del tipo di procedura - con individuazione dei criteri di selezione degli operatori economici e delle offerte - e degli elementi essenziali del contratto (art. 32, comma 2, del D.Lgs. n. 50/2016)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NEL CASO DI QUALIFICAZIONE DI APPALTO COME CONTRATTO RIENTRANTE NEI REGIMI PARTICOLARI DI APPALTO DI CUI AL TITOLO VI DELLA  PARTE II DEL D.LGS. n. 50/2016</w:t>
            </w: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esplicitazione della motivazione e aderenza della stessa ai casi previsti dalla normativa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conformità della procedura descritta alle regole procedurali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lastRenderedPageBreak/>
              <w:t>NEL CASO DI PROCEDURA SOTTOSOGLIA</w:t>
            </w: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previsione della modalità di ricorso al Mercato Elettronico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se non è previsto il ricorso al mercato elettronico, adeguata motivazione circa l’impossibilità di ricorrervi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Rispetto dei principi richiamati all’art. 36, comma 1, del D.Lgs. 50/2016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NEL CASO DI PROCEDURA SOTTOSOGLIA ai </w:t>
            </w:r>
            <w:r w:rsidRPr="00F22EC8">
              <w:rPr>
                <w:rFonts w:ascii="Tahoma" w:hAnsi="Tahoma" w:cs="Tahoma"/>
                <w:bCs/>
                <w:sz w:val="22"/>
                <w:szCs w:val="22"/>
              </w:rPr>
              <w:t>sensi dell’art. 1, comma 502, della Legge n. 208/2015 (legge di stabilità 2016)</w:t>
            </w: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bCs/>
                <w:sz w:val="22"/>
                <w:szCs w:val="22"/>
              </w:rPr>
              <w:t>Rispetto della soglia di € 1.000,00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NEL CASO DI DIALOGO COMPETITIVO O PROCEDURE NEGOZIATE</w:t>
            </w: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adeguata motivazione della scelta del tipo di procedura adottato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conformità della procedura a casi e regole procedurali minime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PER TUTTE LE TIPOLOGIE DI PROCEDURA</w:t>
            </w: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informazioni complete sull’Amministrazione aggiudicatrice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7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REGOLE  REGIONALI</w:t>
            </w:r>
          </w:p>
        </w:tc>
      </w:tr>
      <w:tr w:rsidR="00D60A59" w:rsidRPr="00F22EC8" w:rsidTr="00D60A59">
        <w:trPr>
          <w:trHeight w:val="54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 xml:space="preserve">conformità dell’operazione ai criteri di selezione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5141A" w:rsidRPr="00F22EC8" w:rsidRDefault="00D5141A" w:rsidP="00D5141A">
      <w:pPr>
        <w:pStyle w:val="Paragrafoelenco"/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p w:rsidR="00D5141A" w:rsidRPr="00F22EC8" w:rsidRDefault="00D5141A" w:rsidP="00D60A59">
      <w:pPr>
        <w:pStyle w:val="Paragrafoelenco"/>
        <w:numPr>
          <w:ilvl w:val="0"/>
          <w:numId w:val="44"/>
        </w:numPr>
        <w:spacing w:line="300" w:lineRule="atLeast"/>
        <w:jc w:val="both"/>
        <w:rPr>
          <w:rFonts w:ascii="Tahoma" w:hAnsi="Tahoma" w:cs="Tahoma"/>
          <w:sz w:val="22"/>
          <w:szCs w:val="22"/>
        </w:rPr>
      </w:pPr>
      <w:r w:rsidRPr="00F22EC8">
        <w:rPr>
          <w:rFonts w:ascii="Tahoma" w:hAnsi="Tahoma" w:cs="Tahoma"/>
          <w:sz w:val="22"/>
          <w:szCs w:val="22"/>
        </w:rPr>
        <w:t>CONFORMITA’ DELLA PROCEDURA D’ATTIVAZIONE AI PRINCIPI GENERALI E ALLE REGOLE IN MATERIA DI AFFIDAMENTI IN HOUSE (CANCELLARE NEL CASO IN CUI NON SI TRATTI DI AFFIDAMENTI IN HOUSE)</w:t>
      </w:r>
    </w:p>
    <w:p w:rsidR="00D5141A" w:rsidRPr="00F22EC8" w:rsidRDefault="00D5141A" w:rsidP="00D5141A">
      <w:pPr>
        <w:spacing w:line="300" w:lineRule="atLeast"/>
        <w:rPr>
          <w:rFonts w:ascii="Tahoma" w:hAnsi="Tahoma" w:cs="Tahoma"/>
          <w:sz w:val="22"/>
          <w:szCs w:val="22"/>
        </w:rPr>
      </w:pPr>
    </w:p>
    <w:tbl>
      <w:tblPr>
        <w:tblW w:w="8053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1440"/>
        <w:gridCol w:w="2954"/>
      </w:tblGrid>
      <w:tr w:rsidR="00D60A59" w:rsidRPr="00F22EC8" w:rsidTr="00D60A59">
        <w:trPr>
          <w:trHeight w:val="540"/>
          <w:tblHeader/>
        </w:trPr>
        <w:tc>
          <w:tcPr>
            <w:tcW w:w="3659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 w:rsidRPr="00F22EC8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1440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SI/NO/NP</w:t>
            </w:r>
          </w:p>
        </w:tc>
        <w:tc>
          <w:tcPr>
            <w:tcW w:w="2954" w:type="dxa"/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NOTE</w:t>
            </w:r>
          </w:p>
        </w:tc>
      </w:tr>
      <w:tr w:rsidR="00D60A59" w:rsidRPr="00F22EC8" w:rsidTr="00D60A59">
        <w:trPr>
          <w:trHeight w:val="540"/>
        </w:trPr>
        <w:tc>
          <w:tcPr>
            <w:tcW w:w="8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REGOLE NAZIONALI E PRINCIPI GENERALI</w:t>
            </w: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motivazione della scelta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coerenza del criterio  di scelta con l’oggetto e le finalità della Procedura d’attivazione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lastRenderedPageBreak/>
              <w:t>verifica dell’esistenza del controllo analogo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60A59" w:rsidRPr="00F22EC8" w:rsidTr="00D60A59">
        <w:trPr>
          <w:trHeight w:val="5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  <w:r w:rsidRPr="00F22EC8">
              <w:rPr>
                <w:rFonts w:ascii="Tahoma" w:hAnsi="Tahoma" w:cs="Tahoma"/>
                <w:sz w:val="22"/>
                <w:szCs w:val="22"/>
              </w:rPr>
              <w:t>verifica della prevalenza dell’attività dell’ente affidatario  a vantaggio dell’ente che esercita il controllo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59" w:rsidRPr="00F22EC8" w:rsidRDefault="00D60A59" w:rsidP="00B14C8B">
            <w:pPr>
              <w:spacing w:line="300" w:lineRule="atLeas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0B3713" w:rsidRPr="000B3713" w:rsidRDefault="000B3713" w:rsidP="000B3713">
      <w:pPr>
        <w:spacing w:line="240" w:lineRule="atLeast"/>
        <w:jc w:val="both"/>
        <w:rPr>
          <w:rFonts w:eastAsia="Times New Roman"/>
        </w:rPr>
      </w:pPr>
    </w:p>
    <w:sectPr w:rsidR="000B3713" w:rsidRPr="000B3713" w:rsidSect="001214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64E" w:rsidRDefault="001C764E" w:rsidP="00DA7E66">
      <w:r>
        <w:separator/>
      </w:r>
    </w:p>
  </w:endnote>
  <w:endnote w:type="continuationSeparator" w:id="0">
    <w:p w:rsidR="001C764E" w:rsidRDefault="001C764E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527485"/>
      <w:docPartObj>
        <w:docPartGallery w:val="Page Numbers (Bottom of Page)"/>
        <w:docPartUnique/>
      </w:docPartObj>
    </w:sdtPr>
    <w:sdtEndPr/>
    <w:sdtContent>
      <w:p w:rsidR="007A1AF4" w:rsidRDefault="009B79E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A5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64E" w:rsidRDefault="001C764E" w:rsidP="00DA7E66">
      <w:r>
        <w:separator/>
      </w:r>
    </w:p>
  </w:footnote>
  <w:footnote w:type="continuationSeparator" w:id="0">
    <w:p w:rsidR="001C764E" w:rsidRDefault="001C764E" w:rsidP="00DA7E66">
      <w:r>
        <w:continuationSeparator/>
      </w:r>
    </w:p>
  </w:footnote>
  <w:footnote w:id="1">
    <w:p w:rsidR="00CF6AD6" w:rsidRDefault="00CF6AD6">
      <w:pPr>
        <w:pStyle w:val="Testonotaapidipagina"/>
      </w:pPr>
      <w:r>
        <w:rPr>
          <w:rStyle w:val="Rimandonotaapidipagina"/>
        </w:rPr>
        <w:footnoteRef/>
      </w:r>
      <w:r>
        <w:t xml:space="preserve"> Fornire esiti della consultazione</w:t>
      </w:r>
    </w:p>
  </w:footnote>
  <w:footnote w:id="2">
    <w:p w:rsidR="00CF6AD6" w:rsidRDefault="00CF6AD6">
      <w:pPr>
        <w:pStyle w:val="Testonotaapidipagina"/>
      </w:pPr>
      <w:r>
        <w:rPr>
          <w:rStyle w:val="Rimandonotaapidipagina"/>
        </w:rPr>
        <w:footnoteRef/>
      </w:r>
      <w:r>
        <w:t xml:space="preserve"> In caso di risposta negativa non sarà possibile rilasciare il Parere</w:t>
      </w:r>
    </w:p>
  </w:footnote>
  <w:footnote w:id="3">
    <w:p w:rsidR="00CF6AD6" w:rsidRDefault="00CF6AD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F6AD6">
        <w:t>http://europa.basilicata.it/fse/archivio/?b_e_cc=239</w:t>
      </w:r>
    </w:p>
  </w:footnote>
  <w:footnote w:id="4">
    <w:p w:rsidR="00CF6AD6" w:rsidRDefault="00CF6AD6">
      <w:pPr>
        <w:pStyle w:val="Testonotaapidipagina"/>
      </w:pPr>
      <w:r>
        <w:rPr>
          <w:rStyle w:val="Rimandonotaapidipagina"/>
        </w:rPr>
        <w:footnoteRef/>
      </w:r>
      <w:r>
        <w:t xml:space="preserve"> Allegare Scheda Controllo sugli Aiuti di Stato</w:t>
      </w:r>
    </w:p>
  </w:footnote>
  <w:footnote w:id="5">
    <w:p w:rsidR="00CF6AD6" w:rsidRDefault="00CF6AD6">
      <w:pPr>
        <w:pStyle w:val="Testonotaapidipagina"/>
      </w:pPr>
      <w:r>
        <w:rPr>
          <w:rStyle w:val="Rimandonotaapidipagina"/>
        </w:rPr>
        <w:footnoteRef/>
      </w:r>
      <w:r>
        <w:t xml:space="preserve"> In caso di risposta negativa non sarà possibile rilasciare il parere</w:t>
      </w:r>
    </w:p>
  </w:footnote>
  <w:footnote w:id="6">
    <w:p w:rsidR="00D5141A" w:rsidRDefault="00D5141A" w:rsidP="00D5141A">
      <w:pPr>
        <w:pStyle w:val="Testonotaapidipagina"/>
      </w:pPr>
      <w:r>
        <w:rPr>
          <w:rStyle w:val="Rimandonotaapidipagina"/>
        </w:rPr>
        <w:footnoteRef/>
      </w:r>
      <w:r>
        <w:t xml:space="preserve"> Da PO FSE 2014-2020</w:t>
      </w:r>
    </w:p>
  </w:footnote>
  <w:footnote w:id="7">
    <w:p w:rsidR="00D5141A" w:rsidRDefault="00D5141A" w:rsidP="00D5141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Specificare se trattasi di: interventi di formazione; assegnazione contributi/voucher ad individui; </w:t>
      </w:r>
      <w:r w:rsidRPr="004653DC">
        <w:t xml:space="preserve">assegnazione contributi </w:t>
      </w:r>
      <w:r>
        <w:t>a imprese; attivazione di tirocini o work experience; acquisizione di servizi; ecc….</w:t>
      </w:r>
    </w:p>
  </w:footnote>
  <w:footnote w:id="8">
    <w:p w:rsidR="0083288A" w:rsidRDefault="0083288A">
      <w:pPr>
        <w:pStyle w:val="Testonotaapidipagina"/>
      </w:pPr>
      <w:r>
        <w:rPr>
          <w:rStyle w:val="Rimandonotaapidipagina"/>
        </w:rPr>
        <w:footnoteRef/>
      </w:r>
      <w:r>
        <w:t xml:space="preserve"> Rilevabile dal Capitolo 10 del Manuale delle Procedure AdG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49FD1B3F" wp14:editId="0E0B1336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7C6"/>
    <w:multiLevelType w:val="hybridMultilevel"/>
    <w:tmpl w:val="BAA4CD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9344">
      <w:numFmt w:val="bullet"/>
      <w:lvlText w:val=""/>
      <w:lvlJc w:val="left"/>
      <w:pPr>
        <w:ind w:left="2160" w:hanging="360"/>
      </w:pPr>
      <w:rPr>
        <w:rFonts w:ascii="Symbol" w:eastAsiaTheme="minorEastAsia" w:hAnsi="Symbol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E10"/>
    <w:multiLevelType w:val="hybridMultilevel"/>
    <w:tmpl w:val="5A42F6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4279D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32AFE"/>
    <w:multiLevelType w:val="hybridMultilevel"/>
    <w:tmpl w:val="2C9CA4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6300E"/>
    <w:multiLevelType w:val="hybridMultilevel"/>
    <w:tmpl w:val="9A285CA6"/>
    <w:lvl w:ilvl="0" w:tplc="A9221B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D25"/>
    <w:multiLevelType w:val="hybridMultilevel"/>
    <w:tmpl w:val="9146CD4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A0C2237"/>
    <w:multiLevelType w:val="hybridMultilevel"/>
    <w:tmpl w:val="B066D7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E1BE3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85919"/>
    <w:multiLevelType w:val="hybridMultilevel"/>
    <w:tmpl w:val="DE0C2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F5593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7EC"/>
    <w:multiLevelType w:val="hybridMultilevel"/>
    <w:tmpl w:val="134215A8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014FE"/>
    <w:multiLevelType w:val="hybridMultilevel"/>
    <w:tmpl w:val="3ECEC906"/>
    <w:lvl w:ilvl="0" w:tplc="60F87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2172B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930F4D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F17A0"/>
    <w:multiLevelType w:val="hybridMultilevel"/>
    <w:tmpl w:val="36ACD32A"/>
    <w:lvl w:ilvl="0" w:tplc="6D9EB466">
      <w:numFmt w:val="bullet"/>
      <w:lvlText w:val="-"/>
      <w:lvlJc w:val="left"/>
      <w:pPr>
        <w:ind w:left="2295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5" w15:restartNumberingAfterBreak="0">
    <w:nsid w:val="1C7729AE"/>
    <w:multiLevelType w:val="hybridMultilevel"/>
    <w:tmpl w:val="3B4C3684"/>
    <w:lvl w:ilvl="0" w:tplc="697C1F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1073F7F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72AE4"/>
    <w:multiLevelType w:val="hybridMultilevel"/>
    <w:tmpl w:val="E1EE0D0C"/>
    <w:lvl w:ilvl="0" w:tplc="F7CE5A36">
      <w:start w:val="1"/>
      <w:numFmt w:val="decimal"/>
      <w:lvlText w:val="%1."/>
      <w:lvlJc w:val="left"/>
      <w:pPr>
        <w:ind w:left="786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8B6C60"/>
    <w:multiLevelType w:val="hybridMultilevel"/>
    <w:tmpl w:val="80EA113A"/>
    <w:lvl w:ilvl="0" w:tplc="AD529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B13FD"/>
    <w:multiLevelType w:val="hybridMultilevel"/>
    <w:tmpl w:val="40B023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2218AC"/>
    <w:multiLevelType w:val="hybridMultilevel"/>
    <w:tmpl w:val="6D247126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22D136B"/>
    <w:multiLevelType w:val="multilevel"/>
    <w:tmpl w:val="F2180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5315F39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F14C6"/>
    <w:multiLevelType w:val="hybridMultilevel"/>
    <w:tmpl w:val="2C9476C2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531AD0"/>
    <w:multiLevelType w:val="hybridMultilevel"/>
    <w:tmpl w:val="86AAAC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C615A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D6BBC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BE3746"/>
    <w:multiLevelType w:val="hybridMultilevel"/>
    <w:tmpl w:val="6D6673CC"/>
    <w:lvl w:ilvl="0" w:tplc="A52046C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E01916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B437B5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762C13"/>
    <w:multiLevelType w:val="hybridMultilevel"/>
    <w:tmpl w:val="FC5E3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4D4846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ED0BE8"/>
    <w:multiLevelType w:val="hybridMultilevel"/>
    <w:tmpl w:val="80B07F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D2E66"/>
    <w:multiLevelType w:val="hybridMultilevel"/>
    <w:tmpl w:val="CA9A0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1E697E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D71E00"/>
    <w:multiLevelType w:val="hybridMultilevel"/>
    <w:tmpl w:val="4B9C2014"/>
    <w:lvl w:ilvl="0" w:tplc="C066C3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5A5B2E"/>
    <w:multiLevelType w:val="hybridMultilevel"/>
    <w:tmpl w:val="7ECA8F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1778ED"/>
    <w:multiLevelType w:val="multilevel"/>
    <w:tmpl w:val="32D0C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8" w15:restartNumberingAfterBreak="0">
    <w:nsid w:val="66063BB5"/>
    <w:multiLevelType w:val="multilevel"/>
    <w:tmpl w:val="81A64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9" w15:restartNumberingAfterBreak="0">
    <w:nsid w:val="6CD913BA"/>
    <w:multiLevelType w:val="hybridMultilevel"/>
    <w:tmpl w:val="0286339E"/>
    <w:lvl w:ilvl="0" w:tplc="5606934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DB4BAF"/>
    <w:multiLevelType w:val="hybridMultilevel"/>
    <w:tmpl w:val="4628E3AA"/>
    <w:lvl w:ilvl="0" w:tplc="AD529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1134F"/>
    <w:multiLevelType w:val="hybridMultilevel"/>
    <w:tmpl w:val="CB561A20"/>
    <w:lvl w:ilvl="0" w:tplc="2068AA9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B3B4A"/>
    <w:multiLevelType w:val="hybridMultilevel"/>
    <w:tmpl w:val="63785F30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205B78"/>
    <w:multiLevelType w:val="hybridMultilevel"/>
    <w:tmpl w:val="C6F42F58"/>
    <w:lvl w:ilvl="0" w:tplc="864220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7A02C4"/>
    <w:multiLevelType w:val="hybridMultilevel"/>
    <w:tmpl w:val="8EFE3D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F127F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35"/>
  </w:num>
  <w:num w:numId="4">
    <w:abstractNumId w:val="3"/>
  </w:num>
  <w:num w:numId="5">
    <w:abstractNumId w:val="44"/>
  </w:num>
  <w:num w:numId="6">
    <w:abstractNumId w:val="29"/>
  </w:num>
  <w:num w:numId="7">
    <w:abstractNumId w:val="7"/>
  </w:num>
  <w:num w:numId="8">
    <w:abstractNumId w:val="28"/>
  </w:num>
  <w:num w:numId="9">
    <w:abstractNumId w:val="33"/>
  </w:num>
  <w:num w:numId="10">
    <w:abstractNumId w:val="36"/>
  </w:num>
  <w:num w:numId="11">
    <w:abstractNumId w:val="22"/>
  </w:num>
  <w:num w:numId="12">
    <w:abstractNumId w:val="11"/>
  </w:num>
  <w:num w:numId="13">
    <w:abstractNumId w:val="9"/>
  </w:num>
  <w:num w:numId="14">
    <w:abstractNumId w:val="13"/>
  </w:num>
  <w:num w:numId="15">
    <w:abstractNumId w:val="5"/>
  </w:num>
  <w:num w:numId="16">
    <w:abstractNumId w:val="32"/>
  </w:num>
  <w:num w:numId="17">
    <w:abstractNumId w:val="45"/>
  </w:num>
  <w:num w:numId="18">
    <w:abstractNumId w:val="25"/>
  </w:num>
  <w:num w:numId="19">
    <w:abstractNumId w:val="6"/>
  </w:num>
  <w:num w:numId="20">
    <w:abstractNumId w:val="2"/>
  </w:num>
  <w:num w:numId="21">
    <w:abstractNumId w:val="16"/>
  </w:num>
  <w:num w:numId="22">
    <w:abstractNumId w:val="26"/>
  </w:num>
  <w:num w:numId="23">
    <w:abstractNumId w:val="43"/>
  </w:num>
  <w:num w:numId="24">
    <w:abstractNumId w:val="34"/>
  </w:num>
  <w:num w:numId="25">
    <w:abstractNumId w:val="42"/>
  </w:num>
  <w:num w:numId="26">
    <w:abstractNumId w:val="15"/>
  </w:num>
  <w:num w:numId="27">
    <w:abstractNumId w:val="27"/>
  </w:num>
  <w:num w:numId="28">
    <w:abstractNumId w:val="24"/>
  </w:num>
  <w:num w:numId="29">
    <w:abstractNumId w:val="1"/>
  </w:num>
  <w:num w:numId="30">
    <w:abstractNumId w:val="12"/>
  </w:num>
  <w:num w:numId="31">
    <w:abstractNumId w:val="31"/>
  </w:num>
  <w:num w:numId="32">
    <w:abstractNumId w:val="4"/>
  </w:num>
  <w:num w:numId="33">
    <w:abstractNumId w:val="39"/>
  </w:num>
  <w:num w:numId="34">
    <w:abstractNumId w:val="20"/>
  </w:num>
  <w:num w:numId="35">
    <w:abstractNumId w:val="10"/>
  </w:num>
  <w:num w:numId="36">
    <w:abstractNumId w:val="0"/>
  </w:num>
  <w:num w:numId="37">
    <w:abstractNumId w:val="19"/>
  </w:num>
  <w:num w:numId="38">
    <w:abstractNumId w:val="38"/>
  </w:num>
  <w:num w:numId="39">
    <w:abstractNumId w:val="8"/>
  </w:num>
  <w:num w:numId="40">
    <w:abstractNumId w:val="21"/>
  </w:num>
  <w:num w:numId="41">
    <w:abstractNumId w:val="37"/>
  </w:num>
  <w:num w:numId="42">
    <w:abstractNumId w:val="23"/>
  </w:num>
  <w:num w:numId="43">
    <w:abstractNumId w:val="41"/>
  </w:num>
  <w:num w:numId="44">
    <w:abstractNumId w:val="18"/>
  </w:num>
  <w:num w:numId="45">
    <w:abstractNumId w:val="30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66"/>
    <w:rsid w:val="00010381"/>
    <w:rsid w:val="00010D8F"/>
    <w:rsid w:val="00026AD6"/>
    <w:rsid w:val="00052A03"/>
    <w:rsid w:val="00056283"/>
    <w:rsid w:val="0006427E"/>
    <w:rsid w:val="000669F7"/>
    <w:rsid w:val="00076453"/>
    <w:rsid w:val="00080BA8"/>
    <w:rsid w:val="00083113"/>
    <w:rsid w:val="00097AB8"/>
    <w:rsid w:val="000B3713"/>
    <w:rsid w:val="000C122F"/>
    <w:rsid w:val="000C469A"/>
    <w:rsid w:val="000D0E01"/>
    <w:rsid w:val="000F081B"/>
    <w:rsid w:val="000F26CE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913AA"/>
    <w:rsid w:val="001930EC"/>
    <w:rsid w:val="001939B9"/>
    <w:rsid w:val="00197B65"/>
    <w:rsid w:val="001A7C9E"/>
    <w:rsid w:val="001B5C44"/>
    <w:rsid w:val="001B6EC9"/>
    <w:rsid w:val="001C764E"/>
    <w:rsid w:val="001E406A"/>
    <w:rsid w:val="001F2B9F"/>
    <w:rsid w:val="00201036"/>
    <w:rsid w:val="002345DB"/>
    <w:rsid w:val="002414DF"/>
    <w:rsid w:val="002437D3"/>
    <w:rsid w:val="0025057A"/>
    <w:rsid w:val="00260D1C"/>
    <w:rsid w:val="00261AA7"/>
    <w:rsid w:val="00272119"/>
    <w:rsid w:val="0027686F"/>
    <w:rsid w:val="00277DC3"/>
    <w:rsid w:val="00287A59"/>
    <w:rsid w:val="00290CF6"/>
    <w:rsid w:val="002947E3"/>
    <w:rsid w:val="002A3A9E"/>
    <w:rsid w:val="002B23D0"/>
    <w:rsid w:val="00323464"/>
    <w:rsid w:val="00357419"/>
    <w:rsid w:val="0035777D"/>
    <w:rsid w:val="003A216D"/>
    <w:rsid w:val="003B2362"/>
    <w:rsid w:val="003B6234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9020E"/>
    <w:rsid w:val="004A6828"/>
    <w:rsid w:val="004A6989"/>
    <w:rsid w:val="004B3471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A1DEA"/>
    <w:rsid w:val="005B6710"/>
    <w:rsid w:val="005B75CD"/>
    <w:rsid w:val="005C23DE"/>
    <w:rsid w:val="005C7262"/>
    <w:rsid w:val="005D4312"/>
    <w:rsid w:val="005E7978"/>
    <w:rsid w:val="006001E0"/>
    <w:rsid w:val="00601D4D"/>
    <w:rsid w:val="00602A97"/>
    <w:rsid w:val="006055C1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E66DF"/>
    <w:rsid w:val="006F101D"/>
    <w:rsid w:val="006F3230"/>
    <w:rsid w:val="006F7A15"/>
    <w:rsid w:val="00710746"/>
    <w:rsid w:val="00740309"/>
    <w:rsid w:val="00741874"/>
    <w:rsid w:val="00755E87"/>
    <w:rsid w:val="007612F5"/>
    <w:rsid w:val="007625D8"/>
    <w:rsid w:val="00763419"/>
    <w:rsid w:val="00765010"/>
    <w:rsid w:val="007660FE"/>
    <w:rsid w:val="0077335A"/>
    <w:rsid w:val="00797279"/>
    <w:rsid w:val="007A1AF4"/>
    <w:rsid w:val="007A289D"/>
    <w:rsid w:val="007B79E1"/>
    <w:rsid w:val="007D137A"/>
    <w:rsid w:val="007D3C7E"/>
    <w:rsid w:val="007D7762"/>
    <w:rsid w:val="00800954"/>
    <w:rsid w:val="00816ACF"/>
    <w:rsid w:val="0082582D"/>
    <w:rsid w:val="0083288A"/>
    <w:rsid w:val="00836947"/>
    <w:rsid w:val="00854266"/>
    <w:rsid w:val="008608E0"/>
    <w:rsid w:val="00874BAB"/>
    <w:rsid w:val="00880B94"/>
    <w:rsid w:val="00892AA7"/>
    <w:rsid w:val="0089419E"/>
    <w:rsid w:val="008C1A55"/>
    <w:rsid w:val="008C1F3D"/>
    <w:rsid w:val="008D1FFE"/>
    <w:rsid w:val="008E36CA"/>
    <w:rsid w:val="008F3086"/>
    <w:rsid w:val="008F5B41"/>
    <w:rsid w:val="008F6BB4"/>
    <w:rsid w:val="00910436"/>
    <w:rsid w:val="00911CFD"/>
    <w:rsid w:val="00916530"/>
    <w:rsid w:val="00936D5F"/>
    <w:rsid w:val="00963A6F"/>
    <w:rsid w:val="00977130"/>
    <w:rsid w:val="00982BAA"/>
    <w:rsid w:val="0099150A"/>
    <w:rsid w:val="009B79E3"/>
    <w:rsid w:val="009C0148"/>
    <w:rsid w:val="009C05C4"/>
    <w:rsid w:val="009D7CC6"/>
    <w:rsid w:val="00A100BF"/>
    <w:rsid w:val="00A20886"/>
    <w:rsid w:val="00A22C2D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F03E1"/>
    <w:rsid w:val="00B03633"/>
    <w:rsid w:val="00B040CC"/>
    <w:rsid w:val="00B07B9E"/>
    <w:rsid w:val="00B2531E"/>
    <w:rsid w:val="00B268DE"/>
    <w:rsid w:val="00B30498"/>
    <w:rsid w:val="00B40637"/>
    <w:rsid w:val="00B4352A"/>
    <w:rsid w:val="00B44E44"/>
    <w:rsid w:val="00B45FEC"/>
    <w:rsid w:val="00B52B0D"/>
    <w:rsid w:val="00B61E6F"/>
    <w:rsid w:val="00B708AF"/>
    <w:rsid w:val="00B831E1"/>
    <w:rsid w:val="00BA3E72"/>
    <w:rsid w:val="00BB6C15"/>
    <w:rsid w:val="00BC4BA8"/>
    <w:rsid w:val="00BD50F2"/>
    <w:rsid w:val="00BD6313"/>
    <w:rsid w:val="00BE3329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6C65"/>
    <w:rsid w:val="00CF6AD6"/>
    <w:rsid w:val="00D010D8"/>
    <w:rsid w:val="00D061ED"/>
    <w:rsid w:val="00D12048"/>
    <w:rsid w:val="00D25F30"/>
    <w:rsid w:val="00D31C26"/>
    <w:rsid w:val="00D5141A"/>
    <w:rsid w:val="00D60A59"/>
    <w:rsid w:val="00D662C0"/>
    <w:rsid w:val="00D95520"/>
    <w:rsid w:val="00DA3EC5"/>
    <w:rsid w:val="00DA7E66"/>
    <w:rsid w:val="00DB71AA"/>
    <w:rsid w:val="00DD1CE8"/>
    <w:rsid w:val="00DD678B"/>
    <w:rsid w:val="00DE5BDB"/>
    <w:rsid w:val="00DF0B3B"/>
    <w:rsid w:val="00DF325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27C7"/>
    <w:rsid w:val="00F254A4"/>
    <w:rsid w:val="00F315D0"/>
    <w:rsid w:val="00F337B2"/>
    <w:rsid w:val="00F44FC3"/>
    <w:rsid w:val="00F647D7"/>
    <w:rsid w:val="00F712E1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BA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2721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4B80-0610-4A60-B157-37EE8E4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2019-10-02T15:28:00Z</dcterms:created>
  <dcterms:modified xsi:type="dcterms:W3CDTF">2021-09-14T09:20:00Z</dcterms:modified>
</cp:coreProperties>
</file>